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4DA" w:rsidRPr="00366806" w:rsidRDefault="008924DA" w:rsidP="009A4CAC">
      <w:pPr>
        <w:ind w:left="5664" w:firstLine="708"/>
        <w:rPr>
          <w:rFonts w:ascii="Times New Roman" w:hAnsi="Times New Roman"/>
        </w:rPr>
      </w:pPr>
      <w:r w:rsidRPr="009A4CAC">
        <w:rPr>
          <w:rFonts w:ascii="Times New Roman" w:hAnsi="Times New Roman"/>
        </w:rPr>
        <w:t xml:space="preserve">             </w:t>
      </w:r>
      <w:r w:rsidRPr="00366806">
        <w:rPr>
          <w:rFonts w:ascii="Times New Roman" w:hAnsi="Times New Roman"/>
        </w:rPr>
        <w:t xml:space="preserve">Tuchola 05.05.2015 </w:t>
      </w:r>
    </w:p>
    <w:p w:rsidR="008924DA" w:rsidRPr="009A4CAC" w:rsidRDefault="008924DA" w:rsidP="009A4CAC">
      <w:pPr>
        <w:ind w:left="5664"/>
        <w:jc w:val="both"/>
        <w:rPr>
          <w:rFonts w:ascii="Times New Roman" w:hAnsi="Times New Roman"/>
        </w:rPr>
      </w:pPr>
      <w:r w:rsidRPr="009A4CAC">
        <w:rPr>
          <w:rFonts w:ascii="Times New Roman" w:hAnsi="Times New Roman"/>
        </w:rPr>
        <w:t xml:space="preserve"> </w:t>
      </w:r>
    </w:p>
    <w:p w:rsidR="008924DA" w:rsidRPr="009A4CAC" w:rsidRDefault="008924DA" w:rsidP="009A4CAC">
      <w:pPr>
        <w:ind w:left="5664"/>
        <w:rPr>
          <w:rFonts w:ascii="Times New Roman" w:hAnsi="Times New Roman"/>
          <w:b/>
        </w:rPr>
      </w:pPr>
      <w:r w:rsidRPr="009A4CAC">
        <w:rPr>
          <w:rFonts w:ascii="Times New Roman" w:hAnsi="Times New Roman"/>
          <w:b/>
        </w:rPr>
        <w:t xml:space="preserve">Uczestnicy postępowania </w:t>
      </w:r>
    </w:p>
    <w:p w:rsidR="008924DA" w:rsidRPr="009A4CAC" w:rsidRDefault="008924DA" w:rsidP="009A4CAC">
      <w:pPr>
        <w:rPr>
          <w:rFonts w:ascii="Times New Roman" w:hAnsi="Times New Roman"/>
          <w:b/>
        </w:rPr>
      </w:pPr>
      <w:r w:rsidRPr="009A4CAC">
        <w:rPr>
          <w:rFonts w:ascii="Times New Roman" w:hAnsi="Times New Roman"/>
          <w:b/>
        </w:rPr>
        <w:t xml:space="preserve">  </w:t>
      </w:r>
    </w:p>
    <w:p w:rsidR="008924DA" w:rsidRPr="009A4CAC" w:rsidRDefault="008924DA" w:rsidP="009A4CAC">
      <w:pPr>
        <w:rPr>
          <w:rFonts w:ascii="Times New Roman" w:hAnsi="Times New Roman"/>
        </w:rPr>
      </w:pPr>
      <w:r w:rsidRPr="009A4CAC">
        <w:rPr>
          <w:rFonts w:ascii="Times New Roman" w:hAnsi="Times New Roman"/>
        </w:rPr>
        <w:t>Dotyczy :  postępowania o udzielenie zamówienia publicznego na „Zakup i montaż agregatu prądotwórczego dla Szpitala Tucholskiego Spółki z o.o.” ; Znak sprawy : ZP/ 6 / 2015</w:t>
      </w:r>
    </w:p>
    <w:p w:rsidR="008924DA" w:rsidRPr="009A4CAC" w:rsidRDefault="008924DA" w:rsidP="009A4CAC">
      <w:pPr>
        <w:rPr>
          <w:rFonts w:ascii="Times New Roman" w:hAnsi="Times New Roman"/>
        </w:rPr>
      </w:pPr>
      <w:r w:rsidRPr="009A4CAC">
        <w:rPr>
          <w:rFonts w:ascii="Times New Roman" w:hAnsi="Times New Roman"/>
        </w:rPr>
        <w:t>W dniu 28.04.2015r. wpłynęły pytania</w:t>
      </w:r>
    </w:p>
    <w:p w:rsidR="008924DA" w:rsidRPr="009A4CAC" w:rsidRDefault="008924DA" w:rsidP="009A4CAC">
      <w:pPr>
        <w:rPr>
          <w:rFonts w:ascii="Times New Roman" w:hAnsi="Times New Roman"/>
          <w:b/>
        </w:rPr>
      </w:pPr>
      <w:r w:rsidRPr="009A4CAC">
        <w:rPr>
          <w:rFonts w:ascii="Times New Roman" w:hAnsi="Times New Roman"/>
          <w:b/>
        </w:rPr>
        <w:t>PYTANIE 1</w:t>
      </w:r>
    </w:p>
    <w:p w:rsidR="008924DA" w:rsidRPr="009A4CAC" w:rsidRDefault="008924DA" w:rsidP="009A4CAC">
      <w:pPr>
        <w:rPr>
          <w:rFonts w:ascii="Times New Roman" w:hAnsi="Times New Roman"/>
        </w:rPr>
      </w:pPr>
      <w:r w:rsidRPr="009A4CAC">
        <w:rPr>
          <w:rFonts w:ascii="Times New Roman" w:hAnsi="Times New Roman"/>
        </w:rPr>
        <w:t>W projekcie wykonawczym Zał. Nr 9 do SIWZ znajduje się informacja:</w:t>
      </w:r>
    </w:p>
    <w:p w:rsidR="008924DA" w:rsidRPr="009A4CAC" w:rsidRDefault="008924DA" w:rsidP="009A4CAC">
      <w:pPr>
        <w:rPr>
          <w:rFonts w:ascii="Times New Roman" w:hAnsi="Times New Roman"/>
        </w:rPr>
      </w:pPr>
      <w:r w:rsidRPr="009A4CAC">
        <w:rPr>
          <w:rFonts w:ascii="Times New Roman" w:hAnsi="Times New Roman"/>
        </w:rPr>
        <w:t>„… czas reakcji serwisu (rozpoczęcia prac mających na celu usunięcie awarii) wynoszącej nie dłużej niż 48h”. Natomiast w umowie Zał. Nr 2 do SIWZ znajduje się informacja:</w:t>
      </w:r>
    </w:p>
    <w:p w:rsidR="008924DA" w:rsidRPr="009A4CAC" w:rsidRDefault="008924DA" w:rsidP="009A4CAC">
      <w:pPr>
        <w:rPr>
          <w:rFonts w:ascii="Times New Roman" w:hAnsi="Times New Roman"/>
        </w:rPr>
      </w:pPr>
      <w:r w:rsidRPr="009A4CAC">
        <w:rPr>
          <w:rFonts w:ascii="Times New Roman" w:hAnsi="Times New Roman"/>
          <w:position w:val="2"/>
        </w:rPr>
        <w:t>„Czas reakcji serwisu technicznego wynosi 8 godzin od momentu zgłoszenia telefonicznego, łącznie z przystąpieniem do naprawy”.</w:t>
      </w:r>
    </w:p>
    <w:p w:rsidR="008924DA" w:rsidRPr="009A4CAC" w:rsidRDefault="008924DA" w:rsidP="009A4CAC">
      <w:pPr>
        <w:rPr>
          <w:rFonts w:ascii="Times New Roman" w:hAnsi="Times New Roman"/>
        </w:rPr>
      </w:pPr>
      <w:r w:rsidRPr="009A4CAC">
        <w:rPr>
          <w:rFonts w:ascii="Times New Roman" w:hAnsi="Times New Roman"/>
        </w:rPr>
        <w:t>Który zapis jest obowiązujący?</w:t>
      </w:r>
    </w:p>
    <w:p w:rsidR="008924DA" w:rsidRPr="009A4CAC" w:rsidRDefault="008924DA" w:rsidP="009A4CAC">
      <w:pPr>
        <w:rPr>
          <w:rFonts w:ascii="Times New Roman" w:hAnsi="Times New Roman"/>
        </w:rPr>
      </w:pPr>
      <w:r w:rsidRPr="009A4CAC">
        <w:rPr>
          <w:rFonts w:ascii="Times New Roman" w:hAnsi="Times New Roman"/>
          <w:b/>
        </w:rPr>
        <w:t xml:space="preserve">Odpowiedź : </w:t>
      </w:r>
      <w:r w:rsidRPr="009A4CAC">
        <w:rPr>
          <w:rFonts w:ascii="Times New Roman" w:hAnsi="Times New Roman"/>
        </w:rPr>
        <w:t xml:space="preserve">Prawidłowy zapis został  zawarty w projekcie umowy § 9 ust 1 p.2  i brzmi następująco </w:t>
      </w:r>
      <w:r w:rsidRPr="009A4CAC">
        <w:rPr>
          <w:rFonts w:ascii="Times New Roman" w:hAnsi="Times New Roman"/>
          <w:position w:val="2"/>
        </w:rPr>
        <w:t>„Czas reakcji serwisu technicznego wynosi 8 godzin od momentu zgłoszenia telefonicznego, łącznie z przystąpieniem do naprawy”.</w:t>
      </w:r>
    </w:p>
    <w:p w:rsidR="008924DA" w:rsidRPr="009A4CAC" w:rsidRDefault="008924DA" w:rsidP="009A4CAC">
      <w:pPr>
        <w:rPr>
          <w:rFonts w:ascii="Times New Roman" w:hAnsi="Times New Roman"/>
          <w:b/>
        </w:rPr>
      </w:pPr>
      <w:r w:rsidRPr="009A4CAC">
        <w:rPr>
          <w:rFonts w:ascii="Times New Roman" w:hAnsi="Times New Roman"/>
          <w:b/>
        </w:rPr>
        <w:t>PYTANIE 2</w:t>
      </w:r>
    </w:p>
    <w:p w:rsidR="008924DA" w:rsidRPr="009A4CAC" w:rsidRDefault="008924DA" w:rsidP="009A4CAC">
      <w:pPr>
        <w:rPr>
          <w:rFonts w:ascii="Times New Roman" w:hAnsi="Times New Roman"/>
        </w:rPr>
      </w:pPr>
      <w:r w:rsidRPr="009A4CAC">
        <w:rPr>
          <w:rFonts w:ascii="Times New Roman" w:hAnsi="Times New Roman"/>
        </w:rPr>
        <w:t>Kto odpowiada za utylizację zdemontowanych urządzeń?</w:t>
      </w:r>
    </w:p>
    <w:p w:rsidR="008924DA" w:rsidRPr="009A4CAC" w:rsidRDefault="008924DA" w:rsidP="009A4CAC">
      <w:pPr>
        <w:rPr>
          <w:rFonts w:ascii="Times New Roman" w:hAnsi="Times New Roman"/>
        </w:rPr>
      </w:pPr>
      <w:r w:rsidRPr="009A4CAC">
        <w:rPr>
          <w:rFonts w:ascii="Times New Roman" w:hAnsi="Times New Roman"/>
          <w:b/>
        </w:rPr>
        <w:t>Odpowiedź :</w:t>
      </w:r>
      <w:r w:rsidRPr="009A4CAC">
        <w:rPr>
          <w:rFonts w:ascii="Times New Roman" w:hAnsi="Times New Roman"/>
        </w:rPr>
        <w:t xml:space="preserve"> Za utylizację odpadów odpowiada Wykonawca. </w:t>
      </w:r>
    </w:p>
    <w:p w:rsidR="008924DA" w:rsidRPr="009A4CAC" w:rsidRDefault="008924DA" w:rsidP="009A4CAC">
      <w:pPr>
        <w:rPr>
          <w:rFonts w:ascii="Times New Roman" w:hAnsi="Times New Roman"/>
        </w:rPr>
      </w:pPr>
      <w:r w:rsidRPr="009A4CAC">
        <w:rPr>
          <w:rFonts w:ascii="Times New Roman" w:hAnsi="Times New Roman"/>
        </w:rPr>
        <w:t xml:space="preserve">Zamawiający w § 6 projektu umowy dodaje ust. 4 o następującym brzmieniu </w:t>
      </w:r>
    </w:p>
    <w:p w:rsidR="008924DA" w:rsidRPr="009A4CAC" w:rsidRDefault="008924DA" w:rsidP="009A4CAC">
      <w:pPr>
        <w:pStyle w:val="BodyText"/>
        <w:tabs>
          <w:tab w:val="clear" w:pos="360"/>
        </w:tabs>
        <w:jc w:val="left"/>
        <w:rPr>
          <w:color w:val="auto"/>
          <w:sz w:val="22"/>
          <w:szCs w:val="22"/>
        </w:rPr>
      </w:pPr>
      <w:r w:rsidRPr="009A4CAC">
        <w:rPr>
          <w:color w:val="auto"/>
          <w:sz w:val="22"/>
          <w:szCs w:val="22"/>
        </w:rPr>
        <w:t xml:space="preserve">„4. Wykonawca jest wytwórcą odpadów w rozumieniu przepisów ustawy „o odpadach” z dnia 14 grudnia 2012.( Dz. U. z 2013r., poz. 21 z późn. zm.) Wykonawca w trakcie realizacji przedmiotu umowy, ma obowiązek w pierwszej kolejności poddania odpadów budowlanych ( np. odpadów betonowych, ziemi, gruzu budowlanego) odzyskowi, a jeżeli z przyczyn technologicznych jest on niemożliwy lub nieuzasadniony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umowy. Wszystkie materiały nienadające się do ponownego wbudowania i wymagające wywozu, a pochodzące z prowadzonych w ramach inwestycji robót, będą stanowiły własność Wykonawcy.” </w:t>
      </w:r>
    </w:p>
    <w:p w:rsidR="008924DA" w:rsidRPr="009A4CAC" w:rsidRDefault="008924DA" w:rsidP="009A4CAC">
      <w:pPr>
        <w:pStyle w:val="NormalWeb"/>
        <w:rPr>
          <w:sz w:val="22"/>
          <w:szCs w:val="22"/>
        </w:rPr>
      </w:pPr>
      <w:r w:rsidRPr="009A4CAC">
        <w:rPr>
          <w:sz w:val="22"/>
          <w:szCs w:val="22"/>
        </w:rPr>
        <w:t xml:space="preserve">PYTANIE 3 </w:t>
      </w:r>
      <w:r w:rsidRPr="009A4CAC">
        <w:rPr>
          <w:sz w:val="22"/>
          <w:szCs w:val="22"/>
        </w:rPr>
        <w:br/>
        <w:t xml:space="preserve">W typowych silnikach stosowanych w agregatach prądotwórczych o wymaganej mocy min. 220kW (zał. Nr 9 pkt.4.5) moc pobierana przez wentylator jest wyższa niż 7,5kW (zał. Nr 9 pkt.4.6). </w:t>
      </w:r>
      <w:r w:rsidRPr="009A4CAC">
        <w:rPr>
          <w:sz w:val="22"/>
          <w:szCs w:val="22"/>
        </w:rPr>
        <w:br/>
        <w:t xml:space="preserve">Czy Zamawiający dopuszcza rozwiązanie oparte na silniku o parametrach mocy silnika 250kW (bez wentylatora) i mocy wentylatora 9,2kW? </w:t>
      </w:r>
    </w:p>
    <w:p w:rsidR="008924DA" w:rsidRPr="009A4CAC" w:rsidRDefault="008924DA" w:rsidP="009A4CAC">
      <w:pPr>
        <w:pStyle w:val="NormalWeb"/>
        <w:jc w:val="both"/>
        <w:rPr>
          <w:sz w:val="22"/>
          <w:szCs w:val="22"/>
        </w:rPr>
      </w:pPr>
      <w:r w:rsidRPr="009A4CAC">
        <w:rPr>
          <w:color w:val="44546A"/>
          <w:sz w:val="22"/>
          <w:szCs w:val="22"/>
        </w:rPr>
        <w:t>ODP: Zamawiający podtrzymuje zapisy</w:t>
      </w:r>
      <w:r w:rsidRPr="009A4CAC">
        <w:rPr>
          <w:color w:val="FF0000"/>
          <w:sz w:val="22"/>
          <w:szCs w:val="22"/>
        </w:rPr>
        <w:t xml:space="preserve"> </w:t>
      </w:r>
      <w:r w:rsidRPr="009A4CAC">
        <w:rPr>
          <w:color w:val="1F497D"/>
          <w:sz w:val="22"/>
          <w:szCs w:val="22"/>
        </w:rPr>
        <w:t>SIWZ zał. nr 9 pkt.4.6. Celem zamawiającego jest dostawa  agregatu o możliwie małych stratach energii pomocniczej i możliwie małych ilości środków eksploatacyjnych wymaganych w czasie pracy i serwisu maszyny. Jednak ponieważ zamawiający w punkcie 1.Wymagań dopuścił moc znamionową całego agregatu prądotwórczego 200KVA +/- 3% dopuszcza też taką samą odchyłkę w zakresie mocy minimalnej silnika 220Kw +/- 3% i odpowiednio maksymalnej mocy potrzebnej na działanie wentylatora 7,5kW +/- 3%. Reszta wymagań napędu agregatu (punkty od 4.1 do 4.10) zgodnie z SIWZ bez zmian.</w:t>
      </w:r>
    </w:p>
    <w:p w:rsidR="008924DA" w:rsidRPr="009A4CAC" w:rsidRDefault="008924DA" w:rsidP="009A4CAC">
      <w:pPr>
        <w:pStyle w:val="NormalWeb"/>
        <w:rPr>
          <w:sz w:val="22"/>
          <w:szCs w:val="22"/>
        </w:rPr>
      </w:pPr>
      <w:r w:rsidRPr="009A4CAC">
        <w:rPr>
          <w:sz w:val="22"/>
          <w:szCs w:val="22"/>
        </w:rPr>
        <w:t xml:space="preserve">PYTANIE 4 </w:t>
      </w:r>
      <w:r w:rsidRPr="009A4CAC">
        <w:rPr>
          <w:sz w:val="22"/>
          <w:szCs w:val="22"/>
        </w:rPr>
        <w:br/>
        <w:t xml:space="preserve">Czy Zamawiający może wskazać referencyjny typ silnika w przypadku gdy odpowiedź na pytanie 3 jest negatywne? </w:t>
      </w:r>
    </w:p>
    <w:p w:rsidR="008924DA" w:rsidRPr="009A4CAC" w:rsidRDefault="008924DA" w:rsidP="009A4CAC">
      <w:pPr>
        <w:pStyle w:val="NormalWeb"/>
        <w:jc w:val="both"/>
        <w:rPr>
          <w:sz w:val="22"/>
          <w:szCs w:val="22"/>
        </w:rPr>
      </w:pPr>
      <w:r w:rsidRPr="009A4CAC">
        <w:rPr>
          <w:color w:val="44546A"/>
          <w:sz w:val="22"/>
          <w:szCs w:val="22"/>
        </w:rPr>
        <w:t>ODP: Nie, Zamawiającemu nie wolno wskazać typu i producenta silnika. Wymagania jak w punkcie  wyżej i SIWZ.</w:t>
      </w:r>
    </w:p>
    <w:p w:rsidR="008924DA" w:rsidRPr="009A4CAC" w:rsidRDefault="008924DA" w:rsidP="009A4CAC">
      <w:pPr>
        <w:pStyle w:val="NormalWeb"/>
        <w:rPr>
          <w:sz w:val="22"/>
          <w:szCs w:val="22"/>
        </w:rPr>
      </w:pPr>
      <w:r w:rsidRPr="009A4CAC">
        <w:rPr>
          <w:sz w:val="22"/>
          <w:szCs w:val="22"/>
        </w:rPr>
        <w:t xml:space="preserve">PYTANIE 5 </w:t>
      </w:r>
      <w:r w:rsidRPr="009A4CAC">
        <w:rPr>
          <w:sz w:val="22"/>
          <w:szCs w:val="22"/>
        </w:rPr>
        <w:br/>
        <w:t xml:space="preserve">Czy Zamawiający dopuszcza rozwiązanie, w którym ilość płynu chłodniczego jest wyższa niż w przedstawionych wymaganiach? </w:t>
      </w:r>
    </w:p>
    <w:p w:rsidR="008924DA" w:rsidRPr="009A4CAC" w:rsidRDefault="008924DA" w:rsidP="009A4CAC">
      <w:pPr>
        <w:pStyle w:val="NormalWeb"/>
        <w:rPr>
          <w:sz w:val="22"/>
          <w:szCs w:val="22"/>
        </w:rPr>
      </w:pPr>
      <w:r w:rsidRPr="009A4CAC">
        <w:rPr>
          <w:color w:val="44546A"/>
          <w:sz w:val="22"/>
          <w:szCs w:val="22"/>
        </w:rPr>
        <w:t>ODP: Nie, Zamawiający podtrzymuje zapisy SIWZ.</w:t>
      </w:r>
    </w:p>
    <w:p w:rsidR="008924DA" w:rsidRPr="009A4CAC" w:rsidRDefault="008924DA" w:rsidP="009A4CAC">
      <w:pPr>
        <w:pStyle w:val="NormalWeb"/>
        <w:rPr>
          <w:sz w:val="22"/>
          <w:szCs w:val="22"/>
        </w:rPr>
      </w:pPr>
      <w:r w:rsidRPr="009A4CAC">
        <w:rPr>
          <w:sz w:val="22"/>
          <w:szCs w:val="22"/>
        </w:rPr>
        <w:t xml:space="preserve">PYTANIE 6 </w:t>
      </w:r>
      <w:r w:rsidRPr="009A4CAC">
        <w:rPr>
          <w:sz w:val="22"/>
          <w:szCs w:val="22"/>
        </w:rPr>
        <w:br/>
        <w:t xml:space="preserve">Czy Zamawiający może wyjaśnić sposób wentylacji pomieszczenia podczas pracy agregatu? </w:t>
      </w:r>
      <w:r w:rsidRPr="009A4CAC">
        <w:rPr>
          <w:sz w:val="22"/>
          <w:szCs w:val="22"/>
        </w:rPr>
        <w:br/>
        <w:t xml:space="preserve">W którym miejscu przewidziany jest kanał odprowadzający ogrzane powietrze z chłodnicy? </w:t>
      </w:r>
    </w:p>
    <w:p w:rsidR="008924DA" w:rsidRPr="009A4CAC" w:rsidRDefault="008924DA" w:rsidP="009A4CAC">
      <w:pPr>
        <w:pStyle w:val="NormalWeb"/>
        <w:jc w:val="both"/>
        <w:rPr>
          <w:sz w:val="22"/>
          <w:szCs w:val="22"/>
        </w:rPr>
      </w:pPr>
      <w:r w:rsidRPr="009A4CAC">
        <w:rPr>
          <w:color w:val="44546A"/>
          <w:sz w:val="22"/>
          <w:szCs w:val="22"/>
        </w:rPr>
        <w:t>ODP: Sposób wentylacji musi być zgodny z wymaganiami producenta agregatu prądotwórczego. Zamawiający nie narzuca sposobu montażu wentylacji. Wentylacja ma zostać zaprojektowana i wykonana zgodnie ze sztuką  budowlaną umożliwiająca bezpieczną i automatyczną eksploatację.</w:t>
      </w:r>
    </w:p>
    <w:p w:rsidR="008924DA" w:rsidRPr="009A4CAC" w:rsidRDefault="008924DA" w:rsidP="009A4CAC">
      <w:pPr>
        <w:pStyle w:val="NormalWeb"/>
        <w:rPr>
          <w:sz w:val="22"/>
          <w:szCs w:val="22"/>
        </w:rPr>
      </w:pPr>
      <w:r w:rsidRPr="009A4CAC">
        <w:rPr>
          <w:sz w:val="22"/>
          <w:szCs w:val="22"/>
        </w:rPr>
        <w:t xml:space="preserve">PYTANIE 7 </w:t>
      </w:r>
      <w:r w:rsidRPr="009A4CAC">
        <w:rPr>
          <w:sz w:val="22"/>
          <w:szCs w:val="22"/>
        </w:rPr>
        <w:br/>
        <w:t xml:space="preserve">Czy Zamawiający zaakceptuje rozwiązanie polegające na zamurowaniu bramy i wykonaniu w jej miejscu wyrzutni ściennej oraz wykorzystaniu okien do wykonania czerpni? </w:t>
      </w:r>
    </w:p>
    <w:p w:rsidR="008924DA" w:rsidRPr="009A4CAC" w:rsidRDefault="008924DA" w:rsidP="009A4CAC">
      <w:pPr>
        <w:pStyle w:val="NormalWeb"/>
        <w:rPr>
          <w:sz w:val="22"/>
          <w:szCs w:val="22"/>
        </w:rPr>
      </w:pPr>
      <w:r w:rsidRPr="009A4CAC">
        <w:rPr>
          <w:color w:val="44546A"/>
          <w:sz w:val="22"/>
          <w:szCs w:val="22"/>
        </w:rPr>
        <w:t>ODP: Nie. Zamawiający nie akceptuje zamurowania nowej  bramy.</w:t>
      </w:r>
    </w:p>
    <w:p w:rsidR="008924DA" w:rsidRPr="009A4CAC" w:rsidRDefault="008924DA" w:rsidP="009A4CAC">
      <w:pPr>
        <w:pStyle w:val="NormalWeb"/>
        <w:rPr>
          <w:sz w:val="22"/>
          <w:szCs w:val="22"/>
        </w:rPr>
      </w:pPr>
      <w:r w:rsidRPr="009A4CAC">
        <w:rPr>
          <w:sz w:val="22"/>
          <w:szCs w:val="22"/>
        </w:rPr>
        <w:t xml:space="preserve">PYTANIE 8 </w:t>
      </w:r>
      <w:r w:rsidRPr="009A4CAC">
        <w:rPr>
          <w:sz w:val="22"/>
          <w:szCs w:val="22"/>
        </w:rPr>
        <w:br/>
        <w:t xml:space="preserve">W związku z niejasnymi zapisami w projekcie wykonawczym (zał. Nr 9) wymagających wyjaśnień. Czy Zamawiający może wydłużyć termin składania ofert? </w:t>
      </w:r>
    </w:p>
    <w:p w:rsidR="008924DA" w:rsidRPr="009A4CAC" w:rsidRDefault="008924DA" w:rsidP="009A4CAC">
      <w:pPr>
        <w:pStyle w:val="NormalWeb"/>
        <w:jc w:val="both"/>
        <w:rPr>
          <w:sz w:val="22"/>
          <w:szCs w:val="22"/>
        </w:rPr>
      </w:pPr>
      <w:r w:rsidRPr="009A4CAC">
        <w:rPr>
          <w:color w:val="44546A"/>
          <w:sz w:val="22"/>
          <w:szCs w:val="22"/>
        </w:rPr>
        <w:t>ODP: Tak, Zamawiający wydłuża termin składania ofert do dnia 7.05.2015 godzina bez zmian.</w:t>
      </w:r>
    </w:p>
    <w:p w:rsidR="008924DA" w:rsidRPr="009A4CAC" w:rsidRDefault="008924DA" w:rsidP="009A4CAC">
      <w:pPr>
        <w:pStyle w:val="NormalWeb"/>
        <w:rPr>
          <w:sz w:val="22"/>
          <w:szCs w:val="22"/>
        </w:rPr>
      </w:pPr>
      <w:r w:rsidRPr="009A4CAC">
        <w:rPr>
          <w:sz w:val="22"/>
          <w:szCs w:val="22"/>
        </w:rPr>
        <w:t>PYTANIE 9</w:t>
      </w:r>
      <w:r w:rsidRPr="009A4CAC">
        <w:rPr>
          <w:sz w:val="22"/>
          <w:szCs w:val="22"/>
        </w:rPr>
        <w:br/>
        <w:t>Czy zamawiający może wyjaśnić czy układ SZR wyposażony w aparaturę łączeniową wchodzi zakres dostawy?</w:t>
      </w:r>
    </w:p>
    <w:p w:rsidR="008924DA" w:rsidRPr="009A4CAC" w:rsidRDefault="008924DA" w:rsidP="009A4CAC">
      <w:pPr>
        <w:pStyle w:val="NormalWeb"/>
        <w:jc w:val="both"/>
        <w:rPr>
          <w:color w:val="44546A"/>
          <w:sz w:val="22"/>
          <w:szCs w:val="22"/>
        </w:rPr>
      </w:pPr>
      <w:r w:rsidRPr="009A4CAC">
        <w:rPr>
          <w:color w:val="44546A"/>
          <w:sz w:val="22"/>
          <w:szCs w:val="22"/>
        </w:rPr>
        <w:t>Odp. Tak, Zamawiający oczekuje, że wykonawca wykona projekt, który uzgodni, dostarczy wszelkie wymagane komponenty oraz wykona 2 układy SZR  pierwszy dla układu 2 zawodowych sieci zasilających oraz 2 dla układu wybrana sieć /agregat. Wszystkie aparaty łączeniowe maja być oparte na aparatach z napędami silnikowymi oraz wszystkie linie mają być zabezpieczone wyłącznikami mocy o prądach minimum 400A. Stare niepotrzebne aparaty mają zostać zdemontowane. W zakresie projektu i przebudowy jest również demontaż istniejących i funkcjonujących na obiekcie starych układów RZR dla 2 sieci i starego agregatu. Prace mają być przeprowadzone w sposób nie zakłócający pracy Szpitala, przez fachowców posiadających doświadczenie w obiektach szpitalnych. W kosztorysie, który pomocniczo załączono, są wskazane pozycje, które zdaniem Zamawiającego są  wymagane do realizacji zadania. Wiele tych pozycji jest wskazanych jako komplet lub szt., które muszą być wycenione przez oferenta indywidualnie. Cena za realizację zadania jest ryczałtowa i oferent nie może się domagać zapłaty za nie ujęte w kosztorysie pozycje a potrzebne zdaniem wykonawcy do realizacji zadania.</w:t>
      </w:r>
    </w:p>
    <w:p w:rsidR="008924DA" w:rsidRPr="009A4CAC" w:rsidRDefault="008924DA" w:rsidP="009A4CAC">
      <w:pPr>
        <w:pStyle w:val="NormalWeb"/>
        <w:rPr>
          <w:sz w:val="22"/>
          <w:szCs w:val="22"/>
        </w:rPr>
      </w:pPr>
      <w:r w:rsidRPr="009A4CAC">
        <w:rPr>
          <w:sz w:val="22"/>
          <w:szCs w:val="22"/>
        </w:rPr>
        <w:t>PYTANIE 10.</w:t>
      </w:r>
      <w:r w:rsidRPr="009A4CAC">
        <w:rPr>
          <w:sz w:val="22"/>
          <w:szCs w:val="22"/>
        </w:rPr>
        <w:br/>
        <w:t>Czy zamawiający może wskazać miejsce montażu kpl. Układu SZR</w:t>
      </w:r>
    </w:p>
    <w:p w:rsidR="008924DA" w:rsidRPr="009A4CAC" w:rsidRDefault="008924DA" w:rsidP="009A4CAC">
      <w:pPr>
        <w:pStyle w:val="NormalWeb"/>
        <w:jc w:val="both"/>
        <w:rPr>
          <w:color w:val="44546A"/>
          <w:sz w:val="22"/>
          <w:szCs w:val="22"/>
        </w:rPr>
      </w:pPr>
      <w:r w:rsidRPr="009A4CAC">
        <w:rPr>
          <w:color w:val="44546A"/>
          <w:sz w:val="22"/>
          <w:szCs w:val="22"/>
        </w:rPr>
        <w:t>Odp. Tak, Zamawiający przewiduje, że nowy układ SZR zostanie zbudowany i uruchomiony  w pomieszczeniu rozdzielni głównej.</w:t>
      </w:r>
    </w:p>
    <w:p w:rsidR="008924DA" w:rsidRPr="009A4CAC" w:rsidRDefault="008924DA" w:rsidP="009A4CAC">
      <w:pPr>
        <w:pStyle w:val="NormalWeb"/>
        <w:rPr>
          <w:sz w:val="22"/>
          <w:szCs w:val="22"/>
        </w:rPr>
      </w:pPr>
      <w:r w:rsidRPr="009A4CAC">
        <w:rPr>
          <w:sz w:val="22"/>
          <w:szCs w:val="22"/>
        </w:rPr>
        <w:t>PYTANIE 11.</w:t>
      </w:r>
      <w:r w:rsidRPr="009A4CAC">
        <w:rPr>
          <w:sz w:val="22"/>
          <w:szCs w:val="22"/>
        </w:rPr>
        <w:br/>
        <w:t xml:space="preserve">Czy zamawiający może wyjaśnić czy należy przewidzieć dodatkową szafę na układ SZR czy jest już przewidziane miejsce  w istniejących szafach? </w:t>
      </w:r>
    </w:p>
    <w:p w:rsidR="008924DA" w:rsidRPr="009A4CAC" w:rsidRDefault="008924DA" w:rsidP="009A4CAC">
      <w:pPr>
        <w:pStyle w:val="NormalWeb"/>
        <w:jc w:val="both"/>
        <w:rPr>
          <w:color w:val="44546A"/>
          <w:sz w:val="22"/>
          <w:szCs w:val="22"/>
        </w:rPr>
      </w:pPr>
      <w:r w:rsidRPr="009A4CAC">
        <w:rPr>
          <w:color w:val="44546A"/>
          <w:sz w:val="22"/>
          <w:szCs w:val="22"/>
        </w:rPr>
        <w:t>ODP. Zamawiający nie precyzuje tak szczegółowo prac. Decyzje musi podjąć uprawniony projektant wykonawcy przy tworzeniu projektu wykonawczego.</w:t>
      </w:r>
    </w:p>
    <w:p w:rsidR="008924DA" w:rsidRPr="009A4CAC" w:rsidRDefault="008924DA" w:rsidP="009A4CAC">
      <w:pPr>
        <w:pStyle w:val="NormalWeb"/>
        <w:rPr>
          <w:sz w:val="22"/>
          <w:szCs w:val="22"/>
        </w:rPr>
      </w:pPr>
      <w:r w:rsidRPr="009A4CAC">
        <w:rPr>
          <w:sz w:val="22"/>
          <w:szCs w:val="22"/>
        </w:rPr>
        <w:t>PYTANIE 12.</w:t>
      </w:r>
      <w:r w:rsidRPr="009A4CAC">
        <w:rPr>
          <w:sz w:val="22"/>
          <w:szCs w:val="22"/>
        </w:rPr>
        <w:br/>
        <w:t>W warunkach SIWZ Zamawiający podaje termin zakończenia prac do 30.06.2015 natomiast w zal.nr.9 w pkt.8.9 Zamawiający wskazuje termin zakończenia do 15.07.2015.Czy zamawiający może podać ostateczny termin wykonania zadania?</w:t>
      </w:r>
    </w:p>
    <w:p w:rsidR="008924DA" w:rsidRPr="009A4CAC" w:rsidRDefault="008924DA" w:rsidP="009A4CAC">
      <w:pPr>
        <w:pStyle w:val="NormalWeb"/>
        <w:jc w:val="both"/>
        <w:rPr>
          <w:color w:val="44546A"/>
          <w:sz w:val="22"/>
          <w:szCs w:val="22"/>
        </w:rPr>
      </w:pPr>
      <w:r w:rsidRPr="009A4CAC">
        <w:rPr>
          <w:color w:val="44546A"/>
          <w:sz w:val="22"/>
          <w:szCs w:val="22"/>
        </w:rPr>
        <w:t>Odp. Zamawiający miał na myśli, że roboty i prace wykonawcze zakończą się do 30.06.2015  a do 15.07.2015r nastąpią próby pod obciążeniem i szkolenie personelu. Wobec wątpliwości potencjalnych wykonawców co do możliwości wykonania zamówienia do 15.07.2015 r. całości zadania, zamawiający zmienia termin zakończenia zadania do 10 tygodni od podpisania umowy.</w:t>
      </w:r>
    </w:p>
    <w:p w:rsidR="008924DA" w:rsidRPr="009A4CAC" w:rsidRDefault="008924DA" w:rsidP="009A4CAC">
      <w:pPr>
        <w:pStyle w:val="NormalWeb"/>
        <w:rPr>
          <w:sz w:val="22"/>
          <w:szCs w:val="22"/>
        </w:rPr>
      </w:pPr>
      <w:r w:rsidRPr="009A4CAC">
        <w:rPr>
          <w:sz w:val="22"/>
          <w:szCs w:val="22"/>
        </w:rPr>
        <w:t xml:space="preserve">PYTANIE 13. </w:t>
      </w:r>
      <w:r w:rsidRPr="009A4CAC">
        <w:rPr>
          <w:sz w:val="22"/>
          <w:szCs w:val="22"/>
        </w:rPr>
        <w:br/>
        <w:t>W SIWZ Zamawiający w pkt. VI ppkt.1 ust 2 podaje inne spełnienie warunków niż w załączniku nr 4.  Czy zamawiający może poprawić załącznik nr4 tak aby był zgodny z SIWZ?</w:t>
      </w:r>
    </w:p>
    <w:p w:rsidR="008924DA" w:rsidRPr="00366806" w:rsidRDefault="008924DA" w:rsidP="00366806">
      <w:pPr>
        <w:rPr>
          <w:rFonts w:ascii="Times New Roman" w:hAnsi="Times New Roman"/>
        </w:rPr>
      </w:pPr>
      <w:r w:rsidRPr="00366806">
        <w:rPr>
          <w:rFonts w:ascii="Times New Roman" w:hAnsi="Times New Roman"/>
          <w:color w:val="44546A"/>
        </w:rPr>
        <w:t xml:space="preserve">Odp.  </w:t>
      </w:r>
      <w:r w:rsidRPr="00366806">
        <w:rPr>
          <w:rFonts w:ascii="Times New Roman" w:hAnsi="Times New Roman"/>
        </w:rPr>
        <w:t>Zamawiający wyjaśnia, iż całość zadania została zakwalifikowana jako robota budowlana z uwagi na większy wartościowo udział prac budowlanych w zadaniu.</w:t>
      </w:r>
    </w:p>
    <w:p w:rsidR="008924DA" w:rsidRPr="00366806" w:rsidRDefault="008924DA" w:rsidP="00366806">
      <w:pPr>
        <w:rPr>
          <w:rFonts w:ascii="Times New Roman" w:hAnsi="Times New Roman"/>
        </w:rPr>
      </w:pPr>
      <w:r w:rsidRPr="00366806">
        <w:rPr>
          <w:rFonts w:ascii="Times New Roman" w:hAnsi="Times New Roman"/>
        </w:rPr>
        <w:t>Zamawiający oczekuje aby Wykonawca wykazał się doświadczeniem w zakresie wykonanych  robót budowlanych w okresie ostatnich  pięciu  lat przed upływem terminu składania ofert  (tj. co najmniej jedną robotą budowlaną obejmujących wymianę agregatu prądotwórczego o wartości minimum 200.000,00 zł ), a jeżeli okres prowadzenia działalności  jest krótszy – w tym okresie, odpowiadającej swym rodzajem przedmiotowi zamówienia wraz z podaniem jej rodzaju i wartości, daty i miejsca wykonania oraz z załączeniem dowodów dotyczących najważniejszych robót, określających, czy robota ta została wykonana w sposób należyty oraz wskazania, czy została wykonana zgodnie z zasadami sztuki budowlanej i prawidłowo ukończona;</w:t>
      </w:r>
    </w:p>
    <w:p w:rsidR="008924DA" w:rsidRPr="00366806" w:rsidRDefault="008924DA" w:rsidP="00366806">
      <w:pPr>
        <w:spacing w:after="240"/>
        <w:rPr>
          <w:rFonts w:ascii="Times New Roman" w:hAnsi="Times New Roman"/>
        </w:rPr>
      </w:pPr>
      <w:r w:rsidRPr="00366806">
        <w:rPr>
          <w:rFonts w:ascii="Times New Roman" w:hAnsi="Times New Roman"/>
        </w:rPr>
        <w:t>Wykaz robót winien być porównywalnych z zakresem  wykonywanych prac czyli dostawą i zabudową w pomieszczeniu agregatu prądotwórczego, dostawą i zabudową układu SZR oraz przebudową rozdzielni głównej. Ze względu na specyfikę szpitalną Zamawiający żąda aby referencje dotyczące tych prac dotyczyły czynnych funkcjonujących obiektów szpitalnych.</w:t>
      </w:r>
    </w:p>
    <w:p w:rsidR="008924DA" w:rsidRPr="00366806" w:rsidRDefault="008924DA" w:rsidP="00366806">
      <w:pPr>
        <w:rPr>
          <w:rFonts w:ascii="Times New Roman" w:hAnsi="Times New Roman"/>
        </w:rPr>
      </w:pPr>
      <w:r w:rsidRPr="00366806">
        <w:rPr>
          <w:rFonts w:ascii="Times New Roman" w:hAnsi="Times New Roman"/>
        </w:rPr>
        <w:t xml:space="preserve"> W załączeniu prawidłowy załącznik nr 4 do SIWZ </w:t>
      </w:r>
    </w:p>
    <w:p w:rsidR="008924DA" w:rsidRPr="00366806" w:rsidRDefault="008924DA" w:rsidP="00366806">
      <w:pPr>
        <w:rPr>
          <w:rFonts w:ascii="Times New Roman" w:hAnsi="Times New Roman"/>
        </w:rPr>
      </w:pPr>
    </w:p>
    <w:p w:rsidR="008924DA" w:rsidRPr="00366806" w:rsidRDefault="008924DA" w:rsidP="009A4CAC">
      <w:pPr>
        <w:pStyle w:val="NormalWeb"/>
        <w:spacing w:after="240" w:afterAutospacing="0"/>
        <w:jc w:val="both"/>
        <w:rPr>
          <w:color w:val="44546A"/>
          <w:sz w:val="22"/>
          <w:szCs w:val="22"/>
        </w:rPr>
      </w:pPr>
    </w:p>
    <w:p w:rsidR="008924DA" w:rsidRPr="00366806" w:rsidRDefault="008924DA" w:rsidP="009A4CAC">
      <w:pPr>
        <w:pStyle w:val="NormalWeb"/>
        <w:spacing w:after="240" w:afterAutospacing="0"/>
        <w:rPr>
          <w:sz w:val="22"/>
          <w:szCs w:val="22"/>
        </w:rPr>
      </w:pPr>
      <w:bookmarkStart w:id="0" w:name="_GoBack"/>
      <w:bookmarkEnd w:id="0"/>
    </w:p>
    <w:p w:rsidR="008924DA" w:rsidRPr="00366806" w:rsidRDefault="008924DA">
      <w:pPr>
        <w:rPr>
          <w:rFonts w:ascii="Times New Roman" w:hAnsi="Times New Roman"/>
        </w:rPr>
      </w:pPr>
    </w:p>
    <w:sectPr w:rsidR="008924DA" w:rsidRPr="00366806" w:rsidSect="002157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8F8"/>
    <w:rsid w:val="00072BDB"/>
    <w:rsid w:val="000949DB"/>
    <w:rsid w:val="0021577D"/>
    <w:rsid w:val="00243FED"/>
    <w:rsid w:val="00256218"/>
    <w:rsid w:val="00366806"/>
    <w:rsid w:val="003864F5"/>
    <w:rsid w:val="003D6486"/>
    <w:rsid w:val="005568D3"/>
    <w:rsid w:val="00557560"/>
    <w:rsid w:val="00562473"/>
    <w:rsid w:val="005E588B"/>
    <w:rsid w:val="00776D08"/>
    <w:rsid w:val="007E44EE"/>
    <w:rsid w:val="008924DA"/>
    <w:rsid w:val="009A4CAC"/>
    <w:rsid w:val="00B71474"/>
    <w:rsid w:val="00BA6170"/>
    <w:rsid w:val="00C5268D"/>
    <w:rsid w:val="00D04EAF"/>
    <w:rsid w:val="00D738F8"/>
    <w:rsid w:val="00E959C3"/>
    <w:rsid w:val="00F65BE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77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738F8"/>
    <w:pPr>
      <w:spacing w:before="100" w:beforeAutospacing="1" w:after="100" w:afterAutospacing="1" w:line="240" w:lineRule="auto"/>
    </w:pPr>
    <w:rPr>
      <w:rFonts w:ascii="Times New Roman" w:hAnsi="Times New Roman"/>
      <w:sz w:val="24"/>
      <w:szCs w:val="24"/>
      <w:lang w:eastAsia="pl-PL"/>
    </w:rPr>
  </w:style>
  <w:style w:type="character" w:styleId="Hyperlink">
    <w:name w:val="Hyperlink"/>
    <w:basedOn w:val="DefaultParagraphFont"/>
    <w:uiPriority w:val="99"/>
    <w:rsid w:val="00D738F8"/>
    <w:rPr>
      <w:rFonts w:cs="Times New Roman"/>
      <w:color w:val="0563C1"/>
      <w:u w:val="single"/>
    </w:rPr>
  </w:style>
  <w:style w:type="paragraph" w:styleId="BodyText">
    <w:name w:val="Body Text"/>
    <w:basedOn w:val="Normal"/>
    <w:link w:val="BodyTextChar"/>
    <w:uiPriority w:val="99"/>
    <w:rsid w:val="009A4CAC"/>
    <w:pPr>
      <w:tabs>
        <w:tab w:val="left" w:pos="360"/>
      </w:tabs>
      <w:spacing w:after="0" w:line="240" w:lineRule="auto"/>
      <w:jc w:val="both"/>
    </w:pPr>
    <w:rPr>
      <w:rFonts w:ascii="Times New Roman" w:hAnsi="Times New Roman"/>
      <w:color w:val="000000"/>
      <w:sz w:val="24"/>
      <w:szCs w:val="24"/>
      <w:lang w:eastAsia="pl-PL"/>
    </w:rPr>
  </w:style>
  <w:style w:type="character" w:customStyle="1" w:styleId="BodyTextChar">
    <w:name w:val="Body Text Char"/>
    <w:basedOn w:val="DefaultParagraphFont"/>
    <w:link w:val="BodyText"/>
    <w:uiPriority w:val="99"/>
    <w:semiHidden/>
    <w:locked/>
    <w:rsid w:val="00256218"/>
    <w:rPr>
      <w:rFonts w:cs="Times New Roman"/>
      <w:lang w:eastAsia="en-US"/>
    </w:rPr>
  </w:style>
  <w:style w:type="paragraph" w:styleId="BalloonText">
    <w:name w:val="Balloon Text"/>
    <w:basedOn w:val="Normal"/>
    <w:link w:val="BalloonTextChar"/>
    <w:uiPriority w:val="99"/>
    <w:semiHidden/>
    <w:rsid w:val="009A4C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6218"/>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90048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1146</Words>
  <Characters>6879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Jakub Sobczak</dc:creator>
  <cp:keywords/>
  <dc:description/>
  <cp:lastModifiedBy>Szpital Tucholski</cp:lastModifiedBy>
  <cp:revision>2</cp:revision>
  <cp:lastPrinted>2015-05-05T05:17:00Z</cp:lastPrinted>
  <dcterms:created xsi:type="dcterms:W3CDTF">2015-05-05T06:36:00Z</dcterms:created>
  <dcterms:modified xsi:type="dcterms:W3CDTF">2015-05-05T06:36:00Z</dcterms:modified>
</cp:coreProperties>
</file>