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AE0" w:rsidRPr="00B3332D" w:rsidRDefault="00B3332D" w:rsidP="00B3332D">
      <w:pPr>
        <w:jc w:val="center"/>
        <w:rPr>
          <w:b/>
          <w:i/>
          <w:sz w:val="28"/>
          <w:szCs w:val="28"/>
        </w:rPr>
      </w:pPr>
      <w:r w:rsidRPr="00B3332D">
        <w:rPr>
          <w:b/>
          <w:i/>
          <w:sz w:val="28"/>
          <w:szCs w:val="28"/>
        </w:rPr>
        <w:t xml:space="preserve">Informacja o </w:t>
      </w:r>
      <w:r w:rsidR="00076AE0" w:rsidRPr="00B3332D">
        <w:rPr>
          <w:b/>
          <w:i/>
          <w:sz w:val="28"/>
          <w:szCs w:val="28"/>
        </w:rPr>
        <w:t>Wieloletniej Prognozie Finansowej</w:t>
      </w:r>
    </w:p>
    <w:p w:rsidR="00076AE0" w:rsidRDefault="00076AE0" w:rsidP="00B3332D">
      <w:pPr>
        <w:jc w:val="center"/>
        <w:rPr>
          <w:b/>
          <w:i/>
          <w:sz w:val="28"/>
          <w:szCs w:val="28"/>
        </w:rPr>
      </w:pPr>
      <w:r w:rsidRPr="00B3332D">
        <w:rPr>
          <w:b/>
          <w:i/>
          <w:sz w:val="28"/>
          <w:szCs w:val="28"/>
        </w:rPr>
        <w:t xml:space="preserve">Powiatu </w:t>
      </w:r>
      <w:r w:rsidR="00B3332D" w:rsidRPr="00B3332D">
        <w:rPr>
          <w:b/>
          <w:i/>
          <w:sz w:val="28"/>
          <w:szCs w:val="28"/>
        </w:rPr>
        <w:t>Tucholskiego na lata 2013 – 2024</w:t>
      </w:r>
    </w:p>
    <w:p w:rsidR="00B3332D" w:rsidRPr="00B3332D" w:rsidRDefault="00B3332D" w:rsidP="00B3332D">
      <w:pPr>
        <w:jc w:val="center"/>
        <w:rPr>
          <w:b/>
          <w:i/>
          <w:sz w:val="26"/>
          <w:szCs w:val="26"/>
        </w:rPr>
      </w:pPr>
    </w:p>
    <w:p w:rsidR="00076AE0" w:rsidRPr="00B3332D" w:rsidRDefault="00076AE0" w:rsidP="00F26753">
      <w:pPr>
        <w:ind w:firstLine="708"/>
        <w:jc w:val="both"/>
        <w:rPr>
          <w:i/>
          <w:sz w:val="26"/>
          <w:szCs w:val="26"/>
        </w:rPr>
      </w:pPr>
      <w:r w:rsidRPr="00B3332D">
        <w:rPr>
          <w:i/>
          <w:sz w:val="26"/>
          <w:szCs w:val="26"/>
        </w:rPr>
        <w:t xml:space="preserve">Wieloletnia Prognoza Finansowa dla Powiatu </w:t>
      </w:r>
      <w:r w:rsidR="00E70457" w:rsidRPr="00B3332D">
        <w:rPr>
          <w:i/>
          <w:sz w:val="26"/>
          <w:szCs w:val="26"/>
        </w:rPr>
        <w:t>Tucholskiego</w:t>
      </w:r>
      <w:r w:rsidRPr="00B3332D">
        <w:rPr>
          <w:i/>
          <w:sz w:val="26"/>
          <w:szCs w:val="26"/>
        </w:rPr>
        <w:t xml:space="preserve"> (WPF) po raz pierwszy zost</w:t>
      </w:r>
      <w:r w:rsidR="001C665F" w:rsidRPr="00B3332D">
        <w:rPr>
          <w:i/>
          <w:sz w:val="26"/>
          <w:szCs w:val="26"/>
        </w:rPr>
        <w:t>ała opracowana na lata 2011-20</w:t>
      </w:r>
      <w:r w:rsidR="001C665F" w:rsidRPr="00EC422D">
        <w:rPr>
          <w:i/>
          <w:sz w:val="26"/>
          <w:szCs w:val="26"/>
        </w:rPr>
        <w:t>24</w:t>
      </w:r>
      <w:r w:rsidRPr="00B3332D">
        <w:rPr>
          <w:i/>
          <w:sz w:val="26"/>
          <w:szCs w:val="26"/>
        </w:rPr>
        <w:t xml:space="preserve"> </w:t>
      </w:r>
      <w:r w:rsidRPr="00EC422D">
        <w:rPr>
          <w:i/>
          <w:sz w:val="26"/>
          <w:szCs w:val="26"/>
        </w:rPr>
        <w:t xml:space="preserve">i </w:t>
      </w:r>
      <w:r w:rsidR="00EC422D" w:rsidRPr="00EC422D">
        <w:rPr>
          <w:i/>
          <w:sz w:val="26"/>
          <w:szCs w:val="26"/>
        </w:rPr>
        <w:t>przyjęta uchwałą nr IV/23</w:t>
      </w:r>
      <w:r w:rsidRPr="00EC422D">
        <w:rPr>
          <w:i/>
          <w:sz w:val="26"/>
          <w:szCs w:val="26"/>
        </w:rPr>
        <w:t>/</w:t>
      </w:r>
      <w:r w:rsidR="00EC422D" w:rsidRPr="00EC422D">
        <w:rPr>
          <w:i/>
          <w:sz w:val="26"/>
          <w:szCs w:val="26"/>
        </w:rPr>
        <w:t>2011</w:t>
      </w:r>
      <w:r w:rsidRPr="00EC422D">
        <w:rPr>
          <w:i/>
          <w:sz w:val="26"/>
          <w:szCs w:val="26"/>
        </w:rPr>
        <w:t xml:space="preserve"> Rady Powiatu </w:t>
      </w:r>
      <w:r w:rsidR="00815DEC" w:rsidRPr="00EC422D">
        <w:rPr>
          <w:i/>
          <w:sz w:val="26"/>
          <w:szCs w:val="26"/>
        </w:rPr>
        <w:t>Tucholskiego</w:t>
      </w:r>
      <w:r w:rsidRPr="00EC422D">
        <w:rPr>
          <w:i/>
          <w:sz w:val="26"/>
          <w:szCs w:val="26"/>
        </w:rPr>
        <w:t xml:space="preserve"> z dnia 28 </w:t>
      </w:r>
      <w:r w:rsidR="00EC422D" w:rsidRPr="00EC422D">
        <w:rPr>
          <w:i/>
          <w:sz w:val="26"/>
          <w:szCs w:val="26"/>
        </w:rPr>
        <w:t>stycznia 2011</w:t>
      </w:r>
      <w:r w:rsidRPr="00EC422D">
        <w:rPr>
          <w:i/>
          <w:sz w:val="26"/>
          <w:szCs w:val="26"/>
        </w:rPr>
        <w:t xml:space="preserve"> roku.</w:t>
      </w:r>
      <w:r w:rsidRPr="00B3332D">
        <w:rPr>
          <w:i/>
          <w:sz w:val="26"/>
          <w:szCs w:val="26"/>
        </w:rPr>
        <w:t xml:space="preserve"> W związku </w:t>
      </w:r>
      <w:r w:rsidR="004A4EA4" w:rsidRPr="00B3332D">
        <w:rPr>
          <w:i/>
          <w:sz w:val="26"/>
          <w:szCs w:val="26"/>
        </w:rPr>
        <w:t xml:space="preserve">                           </w:t>
      </w:r>
      <w:r w:rsidRPr="00B3332D">
        <w:rPr>
          <w:i/>
          <w:sz w:val="26"/>
          <w:szCs w:val="26"/>
        </w:rPr>
        <w:t>z wykonywaniem budżetu w latach 2011-2012 i dokonywaniem zmian w zadaniach, projektach i programach WPF ulegała częstym zmianom. Wobec powyższego zasadne jest uchylenie z dniem 31.12.2012 r. dotychczasowej WPF i uchwalenie nowej na lata 2013 -</w:t>
      </w:r>
      <w:r w:rsidR="00815DEC" w:rsidRPr="00B3332D">
        <w:rPr>
          <w:i/>
          <w:sz w:val="26"/>
          <w:szCs w:val="26"/>
        </w:rPr>
        <w:t xml:space="preserve"> 2024</w:t>
      </w:r>
      <w:r w:rsidRPr="00B3332D">
        <w:rPr>
          <w:i/>
          <w:sz w:val="26"/>
          <w:szCs w:val="26"/>
        </w:rPr>
        <w:t xml:space="preserve">. </w:t>
      </w:r>
    </w:p>
    <w:p w:rsidR="00076AE0" w:rsidRPr="002D7E4D" w:rsidRDefault="00076AE0" w:rsidP="00F26753">
      <w:pPr>
        <w:ind w:firstLine="708"/>
        <w:jc w:val="both"/>
        <w:rPr>
          <w:i/>
          <w:sz w:val="26"/>
          <w:szCs w:val="26"/>
        </w:rPr>
      </w:pPr>
      <w:r w:rsidRPr="00B3332D">
        <w:rPr>
          <w:i/>
          <w:sz w:val="26"/>
          <w:szCs w:val="26"/>
        </w:rPr>
        <w:t>Nowy wykaz przedsięwzięć został opracowany na rok budżetowy 2013</w:t>
      </w:r>
      <w:r w:rsidR="008344FB">
        <w:rPr>
          <w:i/>
          <w:sz w:val="26"/>
          <w:szCs w:val="26"/>
        </w:rPr>
        <w:br/>
      </w:r>
      <w:r w:rsidR="001D0D0B" w:rsidRPr="00B3332D">
        <w:rPr>
          <w:i/>
          <w:sz w:val="26"/>
          <w:szCs w:val="26"/>
        </w:rPr>
        <w:t xml:space="preserve"> i jedenaście</w:t>
      </w:r>
      <w:r w:rsidRPr="00B3332D">
        <w:rPr>
          <w:i/>
          <w:sz w:val="26"/>
          <w:szCs w:val="26"/>
        </w:rPr>
        <w:t xml:space="preserve"> kolejn</w:t>
      </w:r>
      <w:r w:rsidR="001D0D0B" w:rsidRPr="00B3332D">
        <w:rPr>
          <w:i/>
          <w:sz w:val="26"/>
          <w:szCs w:val="26"/>
        </w:rPr>
        <w:t>ych lat</w:t>
      </w:r>
      <w:r w:rsidR="00537691" w:rsidRPr="00B3332D">
        <w:rPr>
          <w:i/>
          <w:sz w:val="26"/>
          <w:szCs w:val="26"/>
        </w:rPr>
        <w:t xml:space="preserve"> (dotyczy zadania „ Rozbudowa, modernizacja i wyposażenie Szpitala Tucholskiego w Tucholi”)</w:t>
      </w:r>
      <w:r w:rsidR="001D0D0B" w:rsidRPr="00B3332D">
        <w:rPr>
          <w:i/>
          <w:sz w:val="26"/>
          <w:szCs w:val="26"/>
        </w:rPr>
        <w:t>, czyli do 2024</w:t>
      </w:r>
      <w:r w:rsidRPr="00B3332D">
        <w:rPr>
          <w:i/>
          <w:sz w:val="26"/>
          <w:szCs w:val="26"/>
        </w:rPr>
        <w:t xml:space="preserve"> roku. W związku z tym, że spłatę zobowiązań wynikają</w:t>
      </w:r>
      <w:r w:rsidR="00F94106" w:rsidRPr="00B3332D">
        <w:rPr>
          <w:i/>
          <w:sz w:val="26"/>
          <w:szCs w:val="26"/>
        </w:rPr>
        <w:t>cych</w:t>
      </w:r>
      <w:r w:rsidRPr="00B3332D">
        <w:rPr>
          <w:i/>
          <w:sz w:val="26"/>
          <w:szCs w:val="26"/>
        </w:rPr>
        <w:t xml:space="preserve"> z zaciągniętych i planowanych do zaciągnięcia</w:t>
      </w:r>
      <w:r w:rsidR="003232A2" w:rsidRPr="00B3332D">
        <w:rPr>
          <w:i/>
          <w:sz w:val="26"/>
          <w:szCs w:val="26"/>
        </w:rPr>
        <w:t xml:space="preserve"> kredytów prognozuje się do 2024</w:t>
      </w:r>
      <w:r w:rsidR="00F94106" w:rsidRPr="00B3332D">
        <w:rPr>
          <w:i/>
          <w:sz w:val="26"/>
          <w:szCs w:val="26"/>
        </w:rPr>
        <w:t xml:space="preserve"> roku </w:t>
      </w:r>
      <w:r w:rsidRPr="00B3332D">
        <w:rPr>
          <w:i/>
          <w:sz w:val="26"/>
          <w:szCs w:val="26"/>
        </w:rPr>
        <w:t xml:space="preserve">to zgodnie z art. 227 ust. 2 ustawy o finansach publicznych (ufp) prognoza kwoty długu stanowi część WPF i sporządza się ją na okres, na który zaciągnięto zobowiązanie. Na podstawie art. 230 ufp organ stanowiący jednostki samorządu terytorialnego podejmuje uchwałę w sprawie wieloletniej prognozy finansowej przed uchwałą w sprawie uchwalenia budżetu. Wartości przyjęte w WPF i budżecie powinny być zgodne co najmniej w zakresie </w:t>
      </w:r>
      <w:r w:rsidRPr="002D7E4D">
        <w:rPr>
          <w:i/>
          <w:sz w:val="26"/>
          <w:szCs w:val="26"/>
        </w:rPr>
        <w:t>wyniku budżetu i związanych z nim przychodów i rozchodów oraz długu.</w:t>
      </w:r>
    </w:p>
    <w:p w:rsidR="00076AE0" w:rsidRPr="00B3332D" w:rsidRDefault="00076AE0" w:rsidP="00F26753">
      <w:pPr>
        <w:ind w:firstLine="708"/>
        <w:jc w:val="both"/>
        <w:rPr>
          <w:i/>
          <w:sz w:val="26"/>
          <w:szCs w:val="26"/>
        </w:rPr>
      </w:pPr>
      <w:r w:rsidRPr="00B3332D">
        <w:rPr>
          <w:i/>
          <w:sz w:val="26"/>
          <w:szCs w:val="26"/>
        </w:rPr>
        <w:t>Nowy projekt Wieloletniej Prognozy Finansowej został opracowany zgodnie</w:t>
      </w:r>
      <w:r w:rsidR="002D7E4D">
        <w:rPr>
          <w:i/>
          <w:sz w:val="26"/>
          <w:szCs w:val="26"/>
        </w:rPr>
        <w:t xml:space="preserve">    </w:t>
      </w:r>
      <w:r w:rsidRPr="00B3332D">
        <w:rPr>
          <w:i/>
          <w:sz w:val="26"/>
          <w:szCs w:val="26"/>
        </w:rPr>
        <w:t xml:space="preserve"> z zasadami ustawy o finansach publicznych w formie uchwały, która posiada dwa załączniki.</w:t>
      </w:r>
      <w:r w:rsidR="004A4EA4" w:rsidRPr="00B3332D">
        <w:rPr>
          <w:i/>
          <w:sz w:val="26"/>
          <w:szCs w:val="26"/>
        </w:rPr>
        <w:t xml:space="preserve"> </w:t>
      </w:r>
      <w:r w:rsidRPr="00B3332D">
        <w:rPr>
          <w:i/>
          <w:sz w:val="26"/>
          <w:szCs w:val="26"/>
        </w:rPr>
        <w:t xml:space="preserve">Załącznik nr 1 przedstawia sytuację finansową Powiatu </w:t>
      </w:r>
      <w:r w:rsidR="009E58E8" w:rsidRPr="00B3332D">
        <w:rPr>
          <w:i/>
          <w:sz w:val="26"/>
          <w:szCs w:val="26"/>
        </w:rPr>
        <w:t>Tucholskiego</w:t>
      </w:r>
      <w:r w:rsidRPr="00B3332D">
        <w:rPr>
          <w:i/>
          <w:sz w:val="26"/>
          <w:szCs w:val="26"/>
        </w:rPr>
        <w:t xml:space="preserve"> w związku z realizacją zaplanowanych</w:t>
      </w:r>
      <w:r w:rsidR="009E58E8" w:rsidRPr="00B3332D">
        <w:rPr>
          <w:i/>
          <w:sz w:val="26"/>
          <w:szCs w:val="26"/>
        </w:rPr>
        <w:t xml:space="preserve"> przedsięwzięć na lata 2013-2024</w:t>
      </w:r>
      <w:r w:rsidRPr="00B3332D">
        <w:rPr>
          <w:i/>
          <w:sz w:val="26"/>
          <w:szCs w:val="26"/>
        </w:rPr>
        <w:t xml:space="preserve">. Załącznik ten zawiera </w:t>
      </w:r>
      <w:r w:rsidR="004A4EA4" w:rsidRPr="00B3332D">
        <w:rPr>
          <w:i/>
          <w:sz w:val="26"/>
          <w:szCs w:val="26"/>
        </w:rPr>
        <w:t xml:space="preserve">podstawowe dane, </w:t>
      </w:r>
      <w:r w:rsidRPr="00B3332D">
        <w:rPr>
          <w:i/>
          <w:sz w:val="26"/>
          <w:szCs w:val="26"/>
        </w:rPr>
        <w:t>o których mowa w art. 226 ust. 1 i 2 ustawy o finansach publicznych, w tym relację, o której mowa w art. 243 ufp. Załącznik nr 2 przedstawia wykaz wieloletnich przedsięwzięć w zakresie wydatków bieżących i majątkowych, z określeniem łącznych nakładów finansowych, limit zobowiązań oraz limitów wydatków w poszczególnych latach.</w:t>
      </w:r>
    </w:p>
    <w:p w:rsidR="00076AE0" w:rsidRDefault="00076AE0" w:rsidP="00B3332D">
      <w:pPr>
        <w:jc w:val="both"/>
        <w:rPr>
          <w:b/>
          <w:i/>
          <w:sz w:val="26"/>
          <w:szCs w:val="26"/>
        </w:rPr>
      </w:pPr>
    </w:p>
    <w:p w:rsidR="00CA7C3B" w:rsidRPr="00B3332D" w:rsidRDefault="00CA7C3B" w:rsidP="00CA7C3B">
      <w:pPr>
        <w:pStyle w:val="Teksttreci41"/>
        <w:shd w:val="clear" w:color="auto" w:fill="auto"/>
        <w:spacing w:before="0" w:after="0" w:line="240" w:lineRule="auto"/>
        <w:ind w:left="20"/>
        <w:jc w:val="both"/>
        <w:rPr>
          <w:i/>
        </w:rPr>
      </w:pPr>
      <w:r w:rsidRPr="00B3332D">
        <w:rPr>
          <w:i/>
        </w:rPr>
        <w:t xml:space="preserve">Załącznik Nr </w:t>
      </w:r>
      <w:r>
        <w:rPr>
          <w:i/>
        </w:rPr>
        <w:t>1</w:t>
      </w:r>
      <w:r w:rsidRPr="00B3332D">
        <w:rPr>
          <w:i/>
        </w:rPr>
        <w:t xml:space="preserve"> do WPF</w:t>
      </w:r>
    </w:p>
    <w:p w:rsidR="00CA7C3B" w:rsidRPr="00B3332D" w:rsidRDefault="00CA7C3B" w:rsidP="00B3332D">
      <w:pPr>
        <w:jc w:val="both"/>
        <w:rPr>
          <w:b/>
          <w:i/>
          <w:sz w:val="26"/>
          <w:szCs w:val="26"/>
        </w:rPr>
      </w:pPr>
    </w:p>
    <w:p w:rsidR="00076AE0" w:rsidRPr="00B3332D" w:rsidRDefault="00297FB0" w:rsidP="00B3332D">
      <w:pPr>
        <w:jc w:val="both"/>
        <w:rPr>
          <w:i/>
          <w:sz w:val="26"/>
          <w:szCs w:val="26"/>
        </w:rPr>
      </w:pPr>
      <w:r w:rsidRPr="00B3332D">
        <w:rPr>
          <w:rStyle w:val="TeksttreciPogrubienie"/>
          <w:i/>
        </w:rPr>
        <w:t xml:space="preserve">Lp. 1. - Dochody ogółem, </w:t>
      </w:r>
      <w:r w:rsidR="00537691" w:rsidRPr="00B3332D">
        <w:rPr>
          <w:rStyle w:val="TeksttreciPogrubienie"/>
          <w:i/>
        </w:rPr>
        <w:t xml:space="preserve"> </w:t>
      </w:r>
      <w:r w:rsidRPr="00B3332D">
        <w:rPr>
          <w:rStyle w:val="TeksttreciPogrubienie"/>
          <w:i/>
        </w:rPr>
        <w:t>z tego:</w:t>
      </w:r>
    </w:p>
    <w:p w:rsidR="00076AE0" w:rsidRPr="00B3332D" w:rsidRDefault="00076AE0" w:rsidP="00B3332D">
      <w:pPr>
        <w:jc w:val="both"/>
        <w:rPr>
          <w:i/>
          <w:sz w:val="26"/>
          <w:szCs w:val="26"/>
        </w:rPr>
      </w:pPr>
      <w:r w:rsidRPr="00B3332D">
        <w:rPr>
          <w:i/>
          <w:sz w:val="26"/>
          <w:szCs w:val="26"/>
        </w:rPr>
        <w:t>Dochody przedstawione w WPF zostały  sporządzone w oparciu o:</w:t>
      </w:r>
    </w:p>
    <w:p w:rsidR="00FE089F" w:rsidRPr="00B3332D" w:rsidRDefault="00FE089F" w:rsidP="00B3332D">
      <w:pPr>
        <w:jc w:val="both"/>
        <w:rPr>
          <w:b/>
          <w:i/>
          <w:sz w:val="26"/>
          <w:szCs w:val="26"/>
        </w:rPr>
      </w:pPr>
      <w:r w:rsidRPr="00B3332D">
        <w:rPr>
          <w:b/>
          <w:i/>
          <w:sz w:val="26"/>
          <w:szCs w:val="26"/>
        </w:rPr>
        <w:t>Dochody bieżące:</w:t>
      </w:r>
    </w:p>
    <w:p w:rsidR="00076AE0" w:rsidRPr="00B3332D" w:rsidRDefault="00076AE0" w:rsidP="00B3332D">
      <w:pPr>
        <w:numPr>
          <w:ilvl w:val="0"/>
          <w:numId w:val="16"/>
        </w:numPr>
        <w:ind w:left="426" w:hanging="426"/>
        <w:jc w:val="both"/>
        <w:rPr>
          <w:i/>
          <w:sz w:val="26"/>
          <w:szCs w:val="26"/>
        </w:rPr>
      </w:pPr>
      <w:r w:rsidRPr="00B3332D">
        <w:rPr>
          <w:i/>
          <w:sz w:val="26"/>
          <w:szCs w:val="26"/>
        </w:rPr>
        <w:t>Pismo z Ministerstwa Finansów</w:t>
      </w:r>
      <w:r w:rsidR="00537691" w:rsidRPr="00B3332D">
        <w:rPr>
          <w:i/>
          <w:sz w:val="26"/>
          <w:szCs w:val="26"/>
        </w:rPr>
        <w:t xml:space="preserve"> / w prognozie zgodnie ze wskaźnikiem inflacji/</w:t>
      </w:r>
      <w:r w:rsidRPr="00B3332D">
        <w:rPr>
          <w:i/>
          <w:sz w:val="26"/>
          <w:szCs w:val="26"/>
        </w:rPr>
        <w:t>, które ustala:</w:t>
      </w:r>
    </w:p>
    <w:p w:rsidR="00076AE0" w:rsidRPr="00B3332D" w:rsidRDefault="00076AE0" w:rsidP="00B3332D">
      <w:pPr>
        <w:numPr>
          <w:ilvl w:val="0"/>
          <w:numId w:val="17"/>
        </w:numPr>
        <w:jc w:val="both"/>
        <w:rPr>
          <w:i/>
          <w:sz w:val="26"/>
          <w:szCs w:val="26"/>
        </w:rPr>
      </w:pPr>
      <w:r w:rsidRPr="00B3332D">
        <w:rPr>
          <w:i/>
          <w:sz w:val="26"/>
          <w:szCs w:val="26"/>
        </w:rPr>
        <w:t xml:space="preserve">dochód powiatu z tytułu udziału we wpływach z podatku dochodowego od osób fizycznych zamieszkałych na terenie powiatu, </w:t>
      </w:r>
    </w:p>
    <w:p w:rsidR="00076AE0" w:rsidRPr="00B3332D" w:rsidRDefault="00076AE0" w:rsidP="00B3332D">
      <w:pPr>
        <w:numPr>
          <w:ilvl w:val="0"/>
          <w:numId w:val="17"/>
        </w:numPr>
        <w:jc w:val="both"/>
        <w:rPr>
          <w:i/>
          <w:sz w:val="26"/>
          <w:szCs w:val="26"/>
        </w:rPr>
      </w:pPr>
      <w:r w:rsidRPr="00B3332D">
        <w:rPr>
          <w:i/>
          <w:sz w:val="26"/>
          <w:szCs w:val="26"/>
        </w:rPr>
        <w:t xml:space="preserve">dochód powiatu w części oświatowej subwencji ogólnej, </w:t>
      </w:r>
    </w:p>
    <w:p w:rsidR="00076AE0" w:rsidRPr="00B3332D" w:rsidRDefault="00076AE0" w:rsidP="00B3332D">
      <w:pPr>
        <w:numPr>
          <w:ilvl w:val="0"/>
          <w:numId w:val="17"/>
        </w:numPr>
        <w:jc w:val="both"/>
        <w:rPr>
          <w:i/>
          <w:sz w:val="26"/>
          <w:szCs w:val="26"/>
        </w:rPr>
      </w:pPr>
      <w:r w:rsidRPr="00B3332D">
        <w:rPr>
          <w:i/>
          <w:sz w:val="26"/>
          <w:szCs w:val="26"/>
        </w:rPr>
        <w:t xml:space="preserve">dochód powiatu w części wyrównawczej subwencji ogólnej, </w:t>
      </w:r>
    </w:p>
    <w:p w:rsidR="00076AE0" w:rsidRPr="00B3332D" w:rsidRDefault="00076AE0" w:rsidP="00B3332D">
      <w:pPr>
        <w:numPr>
          <w:ilvl w:val="0"/>
          <w:numId w:val="17"/>
        </w:numPr>
        <w:jc w:val="both"/>
        <w:rPr>
          <w:i/>
          <w:sz w:val="26"/>
          <w:szCs w:val="26"/>
        </w:rPr>
      </w:pPr>
      <w:r w:rsidRPr="00B3332D">
        <w:rPr>
          <w:i/>
          <w:sz w:val="26"/>
          <w:szCs w:val="26"/>
        </w:rPr>
        <w:t xml:space="preserve">dochód powiatu w części równoważącej subwencji ogólnej. </w:t>
      </w:r>
    </w:p>
    <w:p w:rsidR="00076AE0" w:rsidRPr="00B3332D" w:rsidRDefault="00076AE0" w:rsidP="00B3332D">
      <w:pPr>
        <w:numPr>
          <w:ilvl w:val="0"/>
          <w:numId w:val="16"/>
        </w:numPr>
        <w:tabs>
          <w:tab w:val="left" w:pos="426"/>
        </w:tabs>
        <w:ind w:left="426" w:hanging="426"/>
        <w:jc w:val="both"/>
        <w:rPr>
          <w:i/>
          <w:sz w:val="26"/>
          <w:szCs w:val="26"/>
        </w:rPr>
      </w:pPr>
      <w:r w:rsidRPr="00B3332D">
        <w:rPr>
          <w:i/>
          <w:sz w:val="26"/>
          <w:szCs w:val="26"/>
        </w:rPr>
        <w:t xml:space="preserve">Pismo Wojewody </w:t>
      </w:r>
      <w:r w:rsidR="00297FB0" w:rsidRPr="00B3332D">
        <w:rPr>
          <w:i/>
          <w:sz w:val="26"/>
          <w:szCs w:val="26"/>
        </w:rPr>
        <w:t xml:space="preserve">Kujawsko - </w:t>
      </w:r>
      <w:r w:rsidRPr="00B3332D">
        <w:rPr>
          <w:i/>
          <w:sz w:val="26"/>
          <w:szCs w:val="26"/>
        </w:rPr>
        <w:t>Pomorskiego określające wysokość dochodów</w:t>
      </w:r>
      <w:r w:rsidR="008344FB">
        <w:rPr>
          <w:i/>
          <w:sz w:val="26"/>
          <w:szCs w:val="26"/>
        </w:rPr>
        <w:br/>
      </w:r>
      <w:r w:rsidRPr="00B3332D">
        <w:rPr>
          <w:i/>
          <w:sz w:val="26"/>
          <w:szCs w:val="26"/>
        </w:rPr>
        <w:t xml:space="preserve"> i dotacji celowych</w:t>
      </w:r>
      <w:r w:rsidR="00297FB0" w:rsidRPr="00B3332D">
        <w:rPr>
          <w:i/>
          <w:sz w:val="26"/>
          <w:szCs w:val="26"/>
        </w:rPr>
        <w:t xml:space="preserve"> </w:t>
      </w:r>
      <w:r w:rsidRPr="00B3332D">
        <w:rPr>
          <w:i/>
          <w:sz w:val="26"/>
          <w:szCs w:val="26"/>
        </w:rPr>
        <w:t xml:space="preserve">na zadania z zakresu administracji rządowej, na zadania </w:t>
      </w:r>
      <w:r w:rsidRPr="00B3332D">
        <w:rPr>
          <w:i/>
          <w:sz w:val="26"/>
          <w:szCs w:val="26"/>
        </w:rPr>
        <w:lastRenderedPageBreak/>
        <w:t>realizowane na podstawie porozumień oraz na zadania własne realizowane przez jednostki samorządu terytorialnego.</w:t>
      </w:r>
    </w:p>
    <w:p w:rsidR="00076AE0" w:rsidRPr="00B3332D" w:rsidRDefault="00076AE0" w:rsidP="00B3332D">
      <w:pPr>
        <w:numPr>
          <w:ilvl w:val="0"/>
          <w:numId w:val="16"/>
        </w:numPr>
        <w:tabs>
          <w:tab w:val="left" w:pos="426"/>
        </w:tabs>
        <w:ind w:left="426" w:hanging="426"/>
        <w:jc w:val="both"/>
        <w:rPr>
          <w:i/>
          <w:sz w:val="26"/>
          <w:szCs w:val="26"/>
        </w:rPr>
      </w:pPr>
      <w:r w:rsidRPr="00B3332D">
        <w:rPr>
          <w:i/>
          <w:sz w:val="26"/>
          <w:szCs w:val="26"/>
        </w:rPr>
        <w:t xml:space="preserve">Obowiązujące umowy i porozumienia z innymi jednostkami samorządu terytorialnego dotyczące przede wszystkim pomocy finansowej na drogi powiatowe (zadania inwestycyjne) </w:t>
      </w:r>
      <w:r w:rsidR="00537691" w:rsidRPr="00B3332D">
        <w:rPr>
          <w:i/>
          <w:sz w:val="26"/>
          <w:szCs w:val="26"/>
        </w:rPr>
        <w:t xml:space="preserve">za pobyt w Domu Dziecka, Domu Pomocy Społecznej </w:t>
      </w:r>
      <w:r w:rsidRPr="00B3332D">
        <w:rPr>
          <w:i/>
          <w:sz w:val="26"/>
          <w:szCs w:val="26"/>
        </w:rPr>
        <w:t xml:space="preserve">oraz utrzymania dzieci z innych powiatów w rodzinach zastępczych na terenie powiatu </w:t>
      </w:r>
      <w:r w:rsidR="00537691" w:rsidRPr="00B3332D">
        <w:rPr>
          <w:i/>
          <w:sz w:val="26"/>
          <w:szCs w:val="26"/>
        </w:rPr>
        <w:t>tucholskiego</w:t>
      </w:r>
      <w:r w:rsidR="00100014" w:rsidRPr="00B3332D">
        <w:rPr>
          <w:i/>
          <w:sz w:val="26"/>
          <w:szCs w:val="26"/>
        </w:rPr>
        <w:t xml:space="preserve"> przyjmuje się w prognozie wzrost o przyjęty planowany w ustawie budżetowej wskaźnik inflacji.</w:t>
      </w:r>
    </w:p>
    <w:p w:rsidR="00100014" w:rsidRPr="00B3332D" w:rsidRDefault="00100014" w:rsidP="00B3332D">
      <w:pPr>
        <w:numPr>
          <w:ilvl w:val="0"/>
          <w:numId w:val="16"/>
        </w:numPr>
        <w:tabs>
          <w:tab w:val="left" w:pos="426"/>
        </w:tabs>
        <w:ind w:left="426" w:hanging="426"/>
        <w:jc w:val="both"/>
        <w:rPr>
          <w:i/>
          <w:sz w:val="26"/>
          <w:szCs w:val="26"/>
        </w:rPr>
      </w:pPr>
      <w:r w:rsidRPr="00B3332D">
        <w:rPr>
          <w:i/>
          <w:sz w:val="26"/>
          <w:szCs w:val="26"/>
        </w:rPr>
        <w:t>Dochody z UE na realizację projektów.</w:t>
      </w:r>
    </w:p>
    <w:p w:rsidR="00403AB8" w:rsidRPr="00B3332D" w:rsidRDefault="00403AB8" w:rsidP="00B3332D">
      <w:pPr>
        <w:pStyle w:val="Teksttreci1"/>
        <w:shd w:val="clear" w:color="auto" w:fill="auto"/>
        <w:spacing w:after="0" w:line="240" w:lineRule="auto"/>
        <w:jc w:val="both"/>
        <w:rPr>
          <w:i/>
        </w:rPr>
      </w:pPr>
      <w:r w:rsidRPr="00B3332D">
        <w:rPr>
          <w:i/>
        </w:rPr>
        <w:t xml:space="preserve">Dane dotyczące dochodów na lata 2013-2024 zostały oszacowane, biorąc za podstawę dochody powiatu przyjęte do budżetu roku 2012 pomniejszając je o dochody </w:t>
      </w:r>
      <w:r w:rsidR="008344FB">
        <w:rPr>
          <w:i/>
        </w:rPr>
        <w:br/>
      </w:r>
      <w:r w:rsidRPr="00B3332D">
        <w:rPr>
          <w:i/>
        </w:rPr>
        <w:t>o charakterze jednorazowym tj. dochody z UE na realizację projektów, dotacje z gmin na zadania drogowe. Zwiększając natomiast dochody z tytułu subwencji, dotacji</w:t>
      </w:r>
      <w:r w:rsidR="008344FB">
        <w:rPr>
          <w:i/>
        </w:rPr>
        <w:br/>
      </w:r>
      <w:r w:rsidRPr="00B3332D">
        <w:rPr>
          <w:i/>
        </w:rPr>
        <w:t xml:space="preserve"> i dochody z tytułu czynszu dzierżawnego , opłat komunikacyjnych, wpływy od mieszkańców DPS, dotacje z innych powiatów na utrzymanie dzieci w DD i rodzinach zastępczych.</w:t>
      </w:r>
    </w:p>
    <w:p w:rsidR="00FE089F" w:rsidRPr="00B3332D" w:rsidRDefault="00EC5E02" w:rsidP="00B3332D">
      <w:pPr>
        <w:pStyle w:val="Teksttreci1"/>
        <w:shd w:val="clear" w:color="auto" w:fill="auto"/>
        <w:tabs>
          <w:tab w:val="left" w:pos="1112"/>
        </w:tabs>
        <w:spacing w:after="0" w:line="240" w:lineRule="auto"/>
        <w:jc w:val="both"/>
        <w:rPr>
          <w:b/>
          <w:i/>
        </w:rPr>
      </w:pPr>
      <w:r w:rsidRPr="00B3332D">
        <w:rPr>
          <w:b/>
          <w:i/>
        </w:rPr>
        <w:t>D</w:t>
      </w:r>
      <w:r w:rsidR="00FE089F" w:rsidRPr="00B3332D">
        <w:rPr>
          <w:b/>
          <w:i/>
        </w:rPr>
        <w:t>ochody majątkowe:</w:t>
      </w:r>
    </w:p>
    <w:p w:rsidR="00FE089F" w:rsidRPr="00B3332D" w:rsidRDefault="00EC5E02" w:rsidP="00B3332D">
      <w:pPr>
        <w:pStyle w:val="Teksttreci1"/>
        <w:shd w:val="clear" w:color="auto" w:fill="auto"/>
        <w:spacing w:after="0" w:line="240" w:lineRule="auto"/>
        <w:jc w:val="both"/>
        <w:rPr>
          <w:i/>
        </w:rPr>
      </w:pPr>
      <w:r w:rsidRPr="00B3332D">
        <w:rPr>
          <w:i/>
        </w:rPr>
        <w:t>W</w:t>
      </w:r>
      <w:r w:rsidR="00FE089F" w:rsidRPr="00B3332D">
        <w:rPr>
          <w:i/>
        </w:rPr>
        <w:t xml:space="preserve"> roku 2013 w dochodach majątkowych uwzględniono dochody z tytułu refundacji poniesionych wydatków</w:t>
      </w:r>
      <w:r w:rsidR="00100014" w:rsidRPr="00B3332D">
        <w:rPr>
          <w:i/>
        </w:rPr>
        <w:t xml:space="preserve"> z UE na zadania inwestycyjne. U</w:t>
      </w:r>
      <w:r w:rsidR="00FE089F" w:rsidRPr="00B3332D">
        <w:rPr>
          <w:i/>
        </w:rPr>
        <w:t xml:space="preserve">względniono również dochody z tytułu </w:t>
      </w:r>
      <w:r w:rsidR="00100014" w:rsidRPr="00B3332D">
        <w:rPr>
          <w:i/>
        </w:rPr>
        <w:t xml:space="preserve">zawartych porozumień z gminami </w:t>
      </w:r>
      <w:r w:rsidR="00FE089F" w:rsidRPr="00B3332D">
        <w:rPr>
          <w:i/>
        </w:rPr>
        <w:t>na dofinansowanie inwestycji drogowych. W pozostałych latach w prognozie uwzględniono niższe wpływy z UE.</w:t>
      </w:r>
    </w:p>
    <w:p w:rsidR="00EC5E02" w:rsidRPr="00B3332D" w:rsidRDefault="00EC5E02" w:rsidP="00B3332D">
      <w:pPr>
        <w:pStyle w:val="Teksttreci1"/>
        <w:shd w:val="clear" w:color="auto" w:fill="auto"/>
        <w:spacing w:after="0" w:line="240" w:lineRule="auto"/>
        <w:ind w:right="261"/>
        <w:jc w:val="both"/>
        <w:rPr>
          <w:b/>
          <w:i/>
        </w:rPr>
      </w:pPr>
      <w:r w:rsidRPr="00B3332D">
        <w:rPr>
          <w:b/>
          <w:i/>
        </w:rPr>
        <w:t>D</w:t>
      </w:r>
      <w:r w:rsidR="00FE089F" w:rsidRPr="00B3332D">
        <w:rPr>
          <w:b/>
          <w:i/>
        </w:rPr>
        <w:t>ochody ze sprzedaży majątku</w:t>
      </w:r>
      <w:r w:rsidRPr="00B3332D">
        <w:rPr>
          <w:b/>
          <w:i/>
        </w:rPr>
        <w:t>:</w:t>
      </w:r>
    </w:p>
    <w:p w:rsidR="00100014" w:rsidRPr="00B3332D" w:rsidRDefault="00EC5E02" w:rsidP="00B3332D">
      <w:pPr>
        <w:pStyle w:val="Teksttreci1"/>
        <w:shd w:val="clear" w:color="auto" w:fill="auto"/>
        <w:spacing w:after="0" w:line="240" w:lineRule="auto"/>
        <w:jc w:val="both"/>
        <w:rPr>
          <w:i/>
        </w:rPr>
      </w:pPr>
      <w:r w:rsidRPr="00B3332D">
        <w:rPr>
          <w:rStyle w:val="Teksttreci6"/>
          <w:i/>
        </w:rPr>
        <w:t>P</w:t>
      </w:r>
      <w:r w:rsidR="00FE089F" w:rsidRPr="00B3332D">
        <w:rPr>
          <w:rStyle w:val="Teksttreci6"/>
          <w:i/>
        </w:rPr>
        <w:t>rzyjęto</w:t>
      </w:r>
      <w:r w:rsidR="00FE089F" w:rsidRPr="00B3332D">
        <w:rPr>
          <w:i/>
        </w:rPr>
        <w:t xml:space="preserve"> dochody klasyfikowane w paragrafach: 0770, 0870. </w:t>
      </w:r>
    </w:p>
    <w:p w:rsidR="00100014" w:rsidRPr="00B3332D" w:rsidRDefault="00FE089F" w:rsidP="00B3332D">
      <w:pPr>
        <w:pStyle w:val="Teksttreci1"/>
        <w:shd w:val="clear" w:color="auto" w:fill="auto"/>
        <w:spacing w:after="0" w:line="240" w:lineRule="auto"/>
        <w:jc w:val="both"/>
        <w:rPr>
          <w:i/>
        </w:rPr>
      </w:pPr>
      <w:r w:rsidRPr="00B3332D">
        <w:rPr>
          <w:i/>
        </w:rPr>
        <w:t>W roku 2013 w planie</w:t>
      </w:r>
      <w:r w:rsidRPr="00B3332D">
        <w:rPr>
          <w:rStyle w:val="Teksttreci6"/>
          <w:i/>
        </w:rPr>
        <w:t xml:space="preserve"> ujęto</w:t>
      </w:r>
      <w:r w:rsidRPr="00B3332D">
        <w:rPr>
          <w:i/>
        </w:rPr>
        <w:t xml:space="preserve"> dochody z tytułu</w:t>
      </w:r>
      <w:r w:rsidR="00100014" w:rsidRPr="00B3332D">
        <w:rPr>
          <w:i/>
        </w:rPr>
        <w:t>:</w:t>
      </w:r>
      <w:r w:rsidRPr="00B3332D">
        <w:rPr>
          <w:i/>
        </w:rPr>
        <w:t xml:space="preserve"> </w:t>
      </w:r>
    </w:p>
    <w:p w:rsidR="00100014" w:rsidRPr="00B3332D" w:rsidRDefault="00100014" w:rsidP="00B3332D">
      <w:pPr>
        <w:pStyle w:val="Teksttreci1"/>
        <w:shd w:val="clear" w:color="auto" w:fill="auto"/>
        <w:spacing w:after="0" w:line="240" w:lineRule="auto"/>
        <w:jc w:val="both"/>
        <w:rPr>
          <w:i/>
        </w:rPr>
      </w:pPr>
      <w:r w:rsidRPr="00B3332D">
        <w:rPr>
          <w:i/>
        </w:rPr>
        <w:t>-</w:t>
      </w:r>
      <w:r w:rsidR="00FE089F" w:rsidRPr="00B3332D">
        <w:rPr>
          <w:i/>
        </w:rPr>
        <w:t>sprzedaży</w:t>
      </w:r>
      <w:r w:rsidRPr="00B3332D">
        <w:rPr>
          <w:i/>
        </w:rPr>
        <w:t xml:space="preserve"> drewna – 3.000,00 zł,</w:t>
      </w:r>
    </w:p>
    <w:p w:rsidR="00100014" w:rsidRPr="00B3332D" w:rsidRDefault="00100014" w:rsidP="00B3332D">
      <w:pPr>
        <w:pStyle w:val="Teksttreci1"/>
        <w:shd w:val="clear" w:color="auto" w:fill="auto"/>
        <w:spacing w:after="0" w:line="240" w:lineRule="auto"/>
        <w:jc w:val="both"/>
        <w:rPr>
          <w:i/>
        </w:rPr>
      </w:pPr>
      <w:r w:rsidRPr="00B3332D">
        <w:rPr>
          <w:i/>
        </w:rPr>
        <w:t>- sprzedaż nieruchomości (III rata za sprzedaż Kamienicy) – 25.000,00 zł,</w:t>
      </w:r>
    </w:p>
    <w:p w:rsidR="00100014" w:rsidRPr="00B3332D" w:rsidRDefault="00100014" w:rsidP="00B3332D">
      <w:pPr>
        <w:pStyle w:val="Teksttreci1"/>
        <w:shd w:val="clear" w:color="auto" w:fill="auto"/>
        <w:spacing w:after="0" w:line="240" w:lineRule="auto"/>
        <w:jc w:val="both"/>
        <w:rPr>
          <w:i/>
        </w:rPr>
      </w:pPr>
      <w:r w:rsidRPr="00B3332D">
        <w:rPr>
          <w:i/>
        </w:rPr>
        <w:t xml:space="preserve">- sprzedaż jednej działki pod budowę w Rudzkim Moście </w:t>
      </w:r>
      <w:r w:rsidR="00F72815" w:rsidRPr="00B3332D">
        <w:rPr>
          <w:i/>
        </w:rPr>
        <w:t>–</w:t>
      </w:r>
      <w:r w:rsidRPr="00B3332D">
        <w:rPr>
          <w:i/>
        </w:rPr>
        <w:t xml:space="preserve"> </w:t>
      </w:r>
      <w:r w:rsidR="00F72815" w:rsidRPr="00B3332D">
        <w:rPr>
          <w:i/>
        </w:rPr>
        <w:t>61.004,00 zł</w:t>
      </w:r>
    </w:p>
    <w:p w:rsidR="00100014" w:rsidRPr="00B3332D" w:rsidRDefault="00100014" w:rsidP="00B3332D">
      <w:pPr>
        <w:pStyle w:val="Teksttreci1"/>
        <w:shd w:val="clear" w:color="auto" w:fill="auto"/>
        <w:spacing w:after="0" w:line="240" w:lineRule="auto"/>
        <w:jc w:val="both"/>
        <w:rPr>
          <w:i/>
        </w:rPr>
      </w:pPr>
      <w:r w:rsidRPr="00B3332D">
        <w:rPr>
          <w:i/>
        </w:rPr>
        <w:t xml:space="preserve">- </w:t>
      </w:r>
      <w:r w:rsidR="00FE089F" w:rsidRPr="00B3332D">
        <w:rPr>
          <w:i/>
        </w:rPr>
        <w:t>sprzedaż Ośrodka Wypoczynkowego w Białej</w:t>
      </w:r>
      <w:r w:rsidR="00D4392B">
        <w:rPr>
          <w:i/>
        </w:rPr>
        <w:t xml:space="preserve"> (</w:t>
      </w:r>
      <w:r w:rsidRPr="00B3332D">
        <w:rPr>
          <w:i/>
        </w:rPr>
        <w:t>I rata) – 1.500.000,00 zł.</w:t>
      </w:r>
    </w:p>
    <w:p w:rsidR="00F72815" w:rsidRPr="00B3332D" w:rsidRDefault="00F72815" w:rsidP="00B3332D">
      <w:pPr>
        <w:pStyle w:val="Teksttreci1"/>
        <w:shd w:val="clear" w:color="auto" w:fill="auto"/>
        <w:spacing w:after="0" w:line="240" w:lineRule="auto"/>
        <w:jc w:val="both"/>
        <w:rPr>
          <w:i/>
        </w:rPr>
      </w:pPr>
      <w:r w:rsidRPr="00B3332D">
        <w:rPr>
          <w:i/>
        </w:rPr>
        <w:t>W roku 2014 ujęto w prognozie</w:t>
      </w:r>
    </w:p>
    <w:p w:rsidR="00F72815" w:rsidRPr="00B3332D" w:rsidRDefault="00F72815" w:rsidP="00B3332D">
      <w:pPr>
        <w:pStyle w:val="Teksttreci1"/>
        <w:shd w:val="clear" w:color="auto" w:fill="auto"/>
        <w:spacing w:after="0" w:line="240" w:lineRule="auto"/>
        <w:jc w:val="both"/>
        <w:rPr>
          <w:i/>
        </w:rPr>
      </w:pPr>
      <w:r w:rsidRPr="00B3332D">
        <w:rPr>
          <w:i/>
        </w:rPr>
        <w:t xml:space="preserve">- </w:t>
      </w:r>
      <w:r w:rsidR="00FE089F" w:rsidRPr="00B3332D">
        <w:rPr>
          <w:i/>
        </w:rPr>
        <w:t>sprzedaż Ośrodka Wypoczynkowego w Białej (II rata</w:t>
      </w:r>
      <w:r w:rsidRPr="00B3332D">
        <w:rPr>
          <w:i/>
        </w:rPr>
        <w:t xml:space="preserve"> w wysokości 1.447.000,00 zł),</w:t>
      </w:r>
    </w:p>
    <w:p w:rsidR="00F72815" w:rsidRPr="00B3332D" w:rsidRDefault="00F72815" w:rsidP="00B3332D">
      <w:pPr>
        <w:pStyle w:val="Teksttreci1"/>
        <w:shd w:val="clear" w:color="auto" w:fill="auto"/>
        <w:spacing w:after="0" w:line="240" w:lineRule="auto"/>
        <w:jc w:val="both"/>
        <w:rPr>
          <w:i/>
        </w:rPr>
      </w:pPr>
      <w:r w:rsidRPr="00B3332D">
        <w:rPr>
          <w:i/>
        </w:rPr>
        <w:t>- sprzedaż nieruchomości (IV rata za sprzedaż Kamienicy</w:t>
      </w:r>
      <w:r w:rsidR="00D4392B">
        <w:rPr>
          <w:i/>
        </w:rPr>
        <w:t xml:space="preserve"> </w:t>
      </w:r>
      <w:r w:rsidRPr="00B3332D">
        <w:rPr>
          <w:i/>
        </w:rPr>
        <w:t>25.000,00 zł),</w:t>
      </w:r>
    </w:p>
    <w:p w:rsidR="00F72815" w:rsidRPr="00B3332D" w:rsidRDefault="00FE089F" w:rsidP="00B3332D">
      <w:pPr>
        <w:pStyle w:val="Teksttreci1"/>
        <w:shd w:val="clear" w:color="auto" w:fill="auto"/>
        <w:spacing w:after="0" w:line="240" w:lineRule="auto"/>
        <w:jc w:val="both"/>
        <w:rPr>
          <w:i/>
        </w:rPr>
      </w:pPr>
      <w:r w:rsidRPr="00B3332D">
        <w:rPr>
          <w:i/>
        </w:rPr>
        <w:t xml:space="preserve"> </w:t>
      </w:r>
      <w:r w:rsidR="00F72815" w:rsidRPr="00B3332D">
        <w:rPr>
          <w:i/>
        </w:rPr>
        <w:t xml:space="preserve">- </w:t>
      </w:r>
      <w:r w:rsidRPr="00B3332D">
        <w:rPr>
          <w:i/>
        </w:rPr>
        <w:t>sprzedaż działek</w:t>
      </w:r>
      <w:r w:rsidR="00D4392B">
        <w:rPr>
          <w:i/>
        </w:rPr>
        <w:t xml:space="preserve"> (</w:t>
      </w:r>
      <w:r w:rsidR="00F72815" w:rsidRPr="00B3332D">
        <w:rPr>
          <w:i/>
        </w:rPr>
        <w:t>60.000,00 zł ),</w:t>
      </w:r>
    </w:p>
    <w:p w:rsidR="00F72815" w:rsidRPr="00B3332D" w:rsidRDefault="00F72815" w:rsidP="00B3332D">
      <w:pPr>
        <w:pStyle w:val="Teksttreci1"/>
        <w:shd w:val="clear" w:color="auto" w:fill="auto"/>
        <w:spacing w:after="0" w:line="240" w:lineRule="auto"/>
        <w:jc w:val="both"/>
        <w:rPr>
          <w:i/>
        </w:rPr>
      </w:pPr>
      <w:r w:rsidRPr="00B3332D">
        <w:rPr>
          <w:i/>
        </w:rPr>
        <w:t>- sprzedaży drewna (1.141,93 zł),</w:t>
      </w:r>
    </w:p>
    <w:p w:rsidR="00FE089F" w:rsidRPr="00B3332D" w:rsidRDefault="00FE089F" w:rsidP="00B3332D">
      <w:pPr>
        <w:pStyle w:val="Teksttreci1"/>
        <w:shd w:val="clear" w:color="auto" w:fill="auto"/>
        <w:spacing w:after="0" w:line="240" w:lineRule="auto"/>
        <w:jc w:val="both"/>
        <w:rPr>
          <w:i/>
        </w:rPr>
      </w:pPr>
      <w:r w:rsidRPr="00B3332D">
        <w:rPr>
          <w:i/>
        </w:rPr>
        <w:t xml:space="preserve">a w latach następnych </w:t>
      </w:r>
      <w:r w:rsidR="00F72815" w:rsidRPr="00B3332D">
        <w:rPr>
          <w:i/>
        </w:rPr>
        <w:t xml:space="preserve">WPF </w:t>
      </w:r>
      <w:r w:rsidRPr="00B3332D">
        <w:rPr>
          <w:i/>
        </w:rPr>
        <w:t>zaplanowano sukcesywną sprzedaż działek.</w:t>
      </w:r>
    </w:p>
    <w:p w:rsidR="00D32EDE" w:rsidRPr="00B3332D" w:rsidRDefault="00D32EDE" w:rsidP="00B3332D">
      <w:pPr>
        <w:pStyle w:val="Teksttreci1"/>
        <w:shd w:val="clear" w:color="auto" w:fill="auto"/>
        <w:spacing w:after="0" w:line="240" w:lineRule="auto"/>
        <w:ind w:right="261"/>
        <w:jc w:val="both"/>
        <w:rPr>
          <w:i/>
        </w:rPr>
      </w:pPr>
    </w:p>
    <w:p w:rsidR="00D32EDE" w:rsidRPr="00B3332D" w:rsidRDefault="00D32EDE" w:rsidP="00B3332D">
      <w:pPr>
        <w:pStyle w:val="Nagwek30"/>
        <w:keepNext/>
        <w:keepLines/>
        <w:shd w:val="clear" w:color="auto" w:fill="auto"/>
        <w:spacing w:before="0" w:line="240" w:lineRule="auto"/>
        <w:ind w:left="20"/>
        <w:jc w:val="both"/>
        <w:rPr>
          <w:i/>
        </w:rPr>
      </w:pPr>
      <w:bookmarkStart w:id="0" w:name="bookmark2"/>
      <w:r w:rsidRPr="00B3332D">
        <w:rPr>
          <w:i/>
        </w:rPr>
        <w:t xml:space="preserve">Lp.2. - Wydatki bieżące (bez </w:t>
      </w:r>
      <w:r w:rsidR="00F72815" w:rsidRPr="00B3332D">
        <w:rPr>
          <w:i/>
        </w:rPr>
        <w:t xml:space="preserve">odsetek i prowizji od: kredytów </w:t>
      </w:r>
      <w:r w:rsidRPr="00B3332D">
        <w:rPr>
          <w:i/>
        </w:rPr>
        <w:t>pożyczek oraz wyemitowanych papierów wartościowych), w tym</w:t>
      </w:r>
      <w:bookmarkEnd w:id="0"/>
      <w:r w:rsidR="00BA3816">
        <w:rPr>
          <w:i/>
        </w:rPr>
        <w:t>:</w:t>
      </w:r>
    </w:p>
    <w:p w:rsidR="00D32EDE" w:rsidRPr="00B3332D" w:rsidRDefault="00D32EDE" w:rsidP="00B3332D">
      <w:pPr>
        <w:pStyle w:val="Teksttreci1"/>
        <w:shd w:val="clear" w:color="auto" w:fill="auto"/>
        <w:spacing w:after="0" w:line="240" w:lineRule="auto"/>
        <w:ind w:left="20"/>
        <w:jc w:val="both"/>
        <w:rPr>
          <w:i/>
        </w:rPr>
      </w:pPr>
      <w:r w:rsidRPr="00B3332D">
        <w:rPr>
          <w:i/>
        </w:rPr>
        <w:t>Prezentowane w wieloletniej prognozie finansowej wydatki na 2013 rok oparto na planie wydatków budżetowych na</w:t>
      </w:r>
      <w:r w:rsidR="00F72815" w:rsidRPr="00B3332D">
        <w:rPr>
          <w:rStyle w:val="Teksttreci6"/>
          <w:i/>
        </w:rPr>
        <w:t xml:space="preserve"> 2013 rok,</w:t>
      </w:r>
      <w:r w:rsidRPr="00B3332D">
        <w:rPr>
          <w:rStyle w:val="Teksttreci6"/>
          <w:i/>
        </w:rPr>
        <w:t xml:space="preserve"> zapewniając</w:t>
      </w:r>
      <w:r w:rsidRPr="00B3332D">
        <w:rPr>
          <w:i/>
        </w:rPr>
        <w:t xml:space="preserve"> prawidłowe funkcjonowanie jednostek organizacyjnych Powiatu Tucholskiego, kontynuację rozpoczętych zadań inwestycyjnych oraz projektów finansowanych ze środków Unii Europejskiej.</w:t>
      </w:r>
      <w:r w:rsidR="004A4EA4" w:rsidRPr="00B3332D">
        <w:rPr>
          <w:i/>
        </w:rPr>
        <w:t xml:space="preserve"> </w:t>
      </w:r>
      <w:r w:rsidRPr="00B3332D">
        <w:rPr>
          <w:i/>
        </w:rPr>
        <w:t>W planie wydatków bieżących (bez wydatków</w:t>
      </w:r>
      <w:r w:rsidR="00F72815" w:rsidRPr="00B3332D">
        <w:rPr>
          <w:i/>
        </w:rPr>
        <w:t xml:space="preserve"> związanych z obsługą długu) </w:t>
      </w:r>
      <w:r w:rsidRPr="00B3332D">
        <w:rPr>
          <w:i/>
        </w:rPr>
        <w:t>ujęto wydatki związane z bieżącym funkcjonowaniem jednostek organizacyjnych i z innymi wydatkami nieinwestycyjnymi dotyczącymi wykonywania zadań powiatu. Znajdują się tam głównie wynagrodzenia, opłaty za energię, wodę, gaz, wywóz nieczystości, bieżące remonty, ubezpieczenia mienia, dotacje dla niep</w:t>
      </w:r>
      <w:r w:rsidR="00F72815" w:rsidRPr="00B3332D">
        <w:rPr>
          <w:i/>
        </w:rPr>
        <w:t xml:space="preserve">ublicznych placówek </w:t>
      </w:r>
      <w:r w:rsidR="00F72815" w:rsidRPr="00B3332D">
        <w:rPr>
          <w:i/>
        </w:rPr>
        <w:lastRenderedPageBreak/>
        <w:t xml:space="preserve">oświatowych, dotacje dla </w:t>
      </w:r>
      <w:r w:rsidRPr="00B3332D">
        <w:rPr>
          <w:i/>
        </w:rPr>
        <w:t>innych powiatów na utrzymanie dzieci w rodzinach zastępczych i placówkach opiekuńczo - wychowawczych.</w:t>
      </w:r>
      <w:r w:rsidR="004A4EA4" w:rsidRPr="00B3332D">
        <w:rPr>
          <w:i/>
        </w:rPr>
        <w:t xml:space="preserve"> </w:t>
      </w:r>
      <w:r w:rsidRPr="00B3332D">
        <w:rPr>
          <w:i/>
        </w:rPr>
        <w:t xml:space="preserve">W tej grupie wydatków uwzględniono również środki na przedsięwzięcia, o których mowa w art. 226 ust. 3 i 4 ustawy o finansach publicznych, które obejmują także wydatki bieżące związane </w:t>
      </w:r>
      <w:r w:rsidR="008344FB">
        <w:rPr>
          <w:i/>
        </w:rPr>
        <w:br/>
      </w:r>
      <w:r w:rsidRPr="00B3332D">
        <w:rPr>
          <w:i/>
        </w:rPr>
        <w:t xml:space="preserve">z programami finansowanymi z udziałem środków, o których mowa w art. 5 ust. 1 pkt 2 i 3 ustawy o finansach publicznych (tj. z udziałem środków z UE). Wydatki bieżące mające charakter przedsięwzięć w myśl art. 226 ust. 3 i ust. 4 pkt. 2 obejmują też umowy, których realizacja w roku budżetowym i w latach następnych jest niezbędna do zapewnienia ciągłości działania jednostki i z których wynikające płatności wykraczają poza rok budżetowy. Do tych umów zaliczamy takie, które zawarte są na określony czas i znany jest wydatek na dany rok. Nie są tu wykazywane umowy na czas nieokreślony lub takie, dla których nie jest możliwe określenie łącznych nakładów finansowych (np. umowy na dostawę wody, energii elektrycznej, gazu, telefony komórkowe, obsługę internetu) jak również umowy o pracę i inne o podobnym charakterze. Tego typu umowy uwzględnione są w wydatkach bieżących ogółem. Umowy te mają charakter na ciągłość działania jednostki i mogą być zawierane na okres dłuższy niż 1 rok, pod warunkiem zachowania wymogów z ustawy Prawo zamówień publicznych. Wydatki bieżące na rok 2013 zostały zmniejszone </w:t>
      </w:r>
      <w:r w:rsidR="008344FB">
        <w:rPr>
          <w:i/>
        </w:rPr>
        <w:br/>
      </w:r>
      <w:r w:rsidRPr="00B3332D">
        <w:rPr>
          <w:i/>
        </w:rPr>
        <w:t xml:space="preserve">w porównaniu </w:t>
      </w:r>
      <w:r w:rsidR="00F72815" w:rsidRPr="00B3332D">
        <w:rPr>
          <w:i/>
        </w:rPr>
        <w:t>do roku 2012 o 3.393.324,04 zł. O</w:t>
      </w:r>
      <w:r w:rsidR="000B2DEB" w:rsidRPr="00B3332D">
        <w:rPr>
          <w:i/>
        </w:rPr>
        <w:t>graniczono</w:t>
      </w:r>
      <w:r w:rsidRPr="00B3332D">
        <w:rPr>
          <w:i/>
        </w:rPr>
        <w:t xml:space="preserve"> wydatki bieżące w celu uzyskania wyższego wyniku operacyjnego w związku z wysokim zadłużeniem powiatu. W celu zachowania wskaźników należy przez okres najbliższych dziewięciu lat ograniczyć wydatki bieżące, co pozwoli wypracować nadwyżkę budżetową.</w:t>
      </w:r>
      <w:r w:rsidR="00DE5BBE" w:rsidRPr="00B3332D">
        <w:rPr>
          <w:i/>
        </w:rPr>
        <w:t xml:space="preserve"> </w:t>
      </w:r>
      <w:r w:rsidRPr="00B3332D">
        <w:rPr>
          <w:i/>
        </w:rPr>
        <w:t xml:space="preserve">Wydatki </w:t>
      </w:r>
      <w:r w:rsidR="008344FB">
        <w:rPr>
          <w:i/>
        </w:rPr>
        <w:br/>
      </w:r>
      <w:r w:rsidRPr="00B3332D">
        <w:rPr>
          <w:i/>
        </w:rPr>
        <w:t>w prognozie zaplanowano według wskaźników makroekonomicznych . Wydatki rzeczowe zaplanowano o przewidywany wskaźnik wzrostu cen towarów i usług pomniejszając je o wydatki jednorazowe przede wszystkim związane z remontami bieżącymi na poszczególne lata.</w:t>
      </w:r>
    </w:p>
    <w:p w:rsidR="000B2DEB" w:rsidRPr="00B3332D" w:rsidRDefault="000B2DEB" w:rsidP="00B3332D">
      <w:pPr>
        <w:pStyle w:val="Teksttreci1"/>
        <w:shd w:val="clear" w:color="auto" w:fill="auto"/>
        <w:spacing w:after="0" w:line="240" w:lineRule="auto"/>
        <w:ind w:left="20"/>
        <w:jc w:val="both"/>
        <w:rPr>
          <w:i/>
        </w:rPr>
      </w:pPr>
      <w:r w:rsidRPr="00B3332D">
        <w:rPr>
          <w:i/>
        </w:rPr>
        <w:t>Wydatki bieżące, w tym:</w:t>
      </w:r>
    </w:p>
    <w:p w:rsidR="00D32EDE" w:rsidRPr="00B3332D" w:rsidRDefault="000B2DEB" w:rsidP="008344FB">
      <w:pPr>
        <w:pStyle w:val="Teksttreci1"/>
        <w:numPr>
          <w:ilvl w:val="0"/>
          <w:numId w:val="28"/>
        </w:numPr>
        <w:shd w:val="clear" w:color="auto" w:fill="auto"/>
        <w:spacing w:after="0" w:line="240" w:lineRule="auto"/>
        <w:jc w:val="both"/>
        <w:rPr>
          <w:i/>
        </w:rPr>
      </w:pPr>
      <w:r w:rsidRPr="00B3332D">
        <w:rPr>
          <w:rStyle w:val="Teksttreci6"/>
          <w:i/>
        </w:rPr>
        <w:t>N</w:t>
      </w:r>
      <w:r w:rsidR="00D32EDE" w:rsidRPr="00B3332D">
        <w:rPr>
          <w:rStyle w:val="Teksttreci6"/>
          <w:i/>
        </w:rPr>
        <w:t>a</w:t>
      </w:r>
      <w:r w:rsidR="00D32EDE" w:rsidRPr="00B3332D">
        <w:rPr>
          <w:i/>
        </w:rPr>
        <w:t xml:space="preserve"> wynagrodzenia i składki od nich naliczane : zaliczono do tej kategorii wszystkie paragrafy płacowe i pochodne. Rok 2013 zaplanowano zgodnie</w:t>
      </w:r>
      <w:r w:rsidR="008344FB">
        <w:rPr>
          <w:i/>
        </w:rPr>
        <w:br/>
      </w:r>
      <w:r w:rsidR="00D32EDE" w:rsidRPr="00B3332D">
        <w:rPr>
          <w:i/>
        </w:rPr>
        <w:t xml:space="preserve"> z projektem budżetu z zagwarantowanym wzrostem wynagrodzeń dla nauczycieli. Plan obejmuje również zmiany organizacyjne dokonane </w:t>
      </w:r>
      <w:r w:rsidR="008344FB">
        <w:rPr>
          <w:i/>
        </w:rPr>
        <w:br/>
      </w:r>
      <w:r w:rsidR="00D32EDE" w:rsidRPr="00B3332D">
        <w:rPr>
          <w:i/>
        </w:rPr>
        <w:t>w Starostwie. W prognozie wynagrodzenia zaplanowano według programu naprawczego (zamrożenie do 2015 roku wynagrodzeń z wyjątkiem pracowników oświaty).</w:t>
      </w:r>
    </w:p>
    <w:p w:rsidR="00A96599" w:rsidRPr="00B3332D" w:rsidRDefault="000B2DEB" w:rsidP="008344FB">
      <w:pPr>
        <w:pStyle w:val="Teksttreci1"/>
        <w:numPr>
          <w:ilvl w:val="0"/>
          <w:numId w:val="28"/>
        </w:numPr>
        <w:shd w:val="clear" w:color="auto" w:fill="auto"/>
        <w:tabs>
          <w:tab w:val="left" w:pos="994"/>
          <w:tab w:val="left" w:pos="1023"/>
        </w:tabs>
        <w:spacing w:after="0" w:line="240" w:lineRule="auto"/>
        <w:jc w:val="both"/>
        <w:rPr>
          <w:i/>
        </w:rPr>
      </w:pPr>
      <w:r w:rsidRPr="00B3332D">
        <w:rPr>
          <w:rStyle w:val="Teksttreci5"/>
          <w:i/>
        </w:rPr>
        <w:t>Z</w:t>
      </w:r>
      <w:r w:rsidR="00D32EDE" w:rsidRPr="00B3332D">
        <w:rPr>
          <w:rStyle w:val="Teksttreci5"/>
          <w:i/>
        </w:rPr>
        <w:t>wiązane</w:t>
      </w:r>
      <w:r w:rsidR="00D32EDE" w:rsidRPr="00B3332D">
        <w:rPr>
          <w:i/>
        </w:rPr>
        <w:t xml:space="preserve"> z funkcjonowaniem organów JST: zaliczono do tej kategorii wydatki w rozdziale 71014, 75011, 75019, 75020, 75075, 85321 oraz w rozdziale 92118. </w:t>
      </w:r>
    </w:p>
    <w:p w:rsidR="00D32EDE" w:rsidRPr="00B3332D" w:rsidRDefault="000B2DEB" w:rsidP="008344FB">
      <w:pPr>
        <w:pStyle w:val="Teksttreci1"/>
        <w:numPr>
          <w:ilvl w:val="0"/>
          <w:numId w:val="28"/>
        </w:numPr>
        <w:shd w:val="clear" w:color="auto" w:fill="auto"/>
        <w:tabs>
          <w:tab w:val="left" w:pos="994"/>
          <w:tab w:val="left" w:pos="1023"/>
        </w:tabs>
        <w:spacing w:after="0" w:line="240" w:lineRule="auto"/>
        <w:ind w:left="714" w:hanging="357"/>
        <w:jc w:val="both"/>
        <w:rPr>
          <w:i/>
        </w:rPr>
      </w:pPr>
      <w:r w:rsidRPr="00B3332D">
        <w:rPr>
          <w:i/>
        </w:rPr>
        <w:t>Z</w:t>
      </w:r>
      <w:r w:rsidR="00D32EDE" w:rsidRPr="00B3332D">
        <w:rPr>
          <w:i/>
        </w:rPr>
        <w:t xml:space="preserve"> tytułu poręczeń i gwarancji: udzielone poręczenie dla Spółki Szpital Tucholski Sp. z o.o. zaliczane do wydatków wygasa w 2019 roku ujęto </w:t>
      </w:r>
      <w:r w:rsidR="008344FB">
        <w:rPr>
          <w:i/>
        </w:rPr>
        <w:br/>
      </w:r>
      <w:r w:rsidR="00D32EDE" w:rsidRPr="00B3332D">
        <w:rPr>
          <w:i/>
        </w:rPr>
        <w:t>w przedsięwzięciach.</w:t>
      </w:r>
    </w:p>
    <w:p w:rsidR="00CF210C" w:rsidRPr="00B3332D" w:rsidRDefault="00CF210C" w:rsidP="00B3332D">
      <w:pPr>
        <w:pStyle w:val="Teksttreci1"/>
        <w:shd w:val="clear" w:color="auto" w:fill="auto"/>
        <w:tabs>
          <w:tab w:val="left" w:pos="994"/>
          <w:tab w:val="left" w:pos="1023"/>
        </w:tabs>
        <w:spacing w:after="0" w:line="240" w:lineRule="auto"/>
        <w:ind w:right="482"/>
        <w:jc w:val="both"/>
        <w:rPr>
          <w:i/>
        </w:rPr>
      </w:pPr>
    </w:p>
    <w:p w:rsidR="00F94106" w:rsidRPr="00557291" w:rsidRDefault="00CF210C" w:rsidP="008344FB">
      <w:pPr>
        <w:pStyle w:val="Teksttreci1"/>
        <w:shd w:val="clear" w:color="auto" w:fill="auto"/>
        <w:spacing w:after="0" w:line="240" w:lineRule="auto"/>
        <w:jc w:val="both"/>
        <w:rPr>
          <w:i/>
        </w:rPr>
      </w:pPr>
      <w:r w:rsidRPr="00557291">
        <w:rPr>
          <w:i/>
        </w:rPr>
        <w:t xml:space="preserve">Przy obecnych dochodach bieżących nie ma możliwości zwiększania wydatków bieżących. Przy obowiązkowej zasadzie wynikającej z ustawy o finansach publicznych dotyczącej  zrównoważenia  budżetu przy jego uchwalaniu, a potem wykonywaniu gospodarka finansowa musi być prowadzona w sposób racjonalny. Różnica, która powstanie między dochodami bieżącymi powiększonymi o dochody ze sprzedaży </w:t>
      </w:r>
      <w:r w:rsidRPr="00557291">
        <w:rPr>
          <w:i/>
        </w:rPr>
        <w:lastRenderedPageBreak/>
        <w:t>majątku, a wydatkami bieżącymi musi wystarczyć na spłatę kredyt</w:t>
      </w:r>
      <w:r w:rsidR="009760A3" w:rsidRPr="00557291">
        <w:rPr>
          <w:i/>
        </w:rPr>
        <w:t>ów, obligacji i odsetek</w:t>
      </w:r>
      <w:r w:rsidRPr="00557291">
        <w:rPr>
          <w:i/>
        </w:rPr>
        <w:t>. Zatem w dalszym ciągu należy ograniczać wydatki bieżące.</w:t>
      </w:r>
    </w:p>
    <w:p w:rsidR="00CA509A" w:rsidRDefault="00FD26AC" w:rsidP="00B3332D">
      <w:pPr>
        <w:pStyle w:val="Teksttreci1"/>
        <w:shd w:val="clear" w:color="auto" w:fill="auto"/>
        <w:spacing w:after="0" w:line="240" w:lineRule="auto"/>
        <w:ind w:left="20"/>
        <w:jc w:val="both"/>
        <w:rPr>
          <w:i/>
        </w:rPr>
      </w:pPr>
      <w:r>
        <w:rPr>
          <w:rStyle w:val="TeksttreciPogrubienie4"/>
          <w:i/>
        </w:rPr>
        <w:t>Lp.</w:t>
      </w:r>
      <w:r w:rsidR="00CA509A" w:rsidRPr="00B3332D">
        <w:rPr>
          <w:rStyle w:val="TeksttreciPogrubienie4"/>
          <w:i/>
        </w:rPr>
        <w:t>3. - Różnica (1-2)</w:t>
      </w:r>
      <w:r w:rsidR="000B2DEB" w:rsidRPr="00B3332D">
        <w:rPr>
          <w:i/>
        </w:rPr>
        <w:t xml:space="preserve">. </w:t>
      </w:r>
      <w:r w:rsidR="00CA509A" w:rsidRPr="00B3332D">
        <w:rPr>
          <w:i/>
        </w:rPr>
        <w:t>Przedstawione wysokości stanowią różnicę pomiędzy dochodami ogółem, a wydatkami bieżącymi (bez odsetek i prowizji od: kredytów</w:t>
      </w:r>
      <w:r w:rsidR="008344FB">
        <w:rPr>
          <w:i/>
        </w:rPr>
        <w:br/>
      </w:r>
      <w:r w:rsidR="00CA509A" w:rsidRPr="00B3332D">
        <w:rPr>
          <w:i/>
        </w:rPr>
        <w:t xml:space="preserve"> i pożyczek oraz wyemitowanych papierów wartościowych)</w:t>
      </w:r>
    </w:p>
    <w:p w:rsidR="00B3332D" w:rsidRPr="00B3332D" w:rsidRDefault="00B3332D" w:rsidP="00B3332D">
      <w:pPr>
        <w:pStyle w:val="Teksttreci1"/>
        <w:shd w:val="clear" w:color="auto" w:fill="auto"/>
        <w:spacing w:after="0" w:line="240" w:lineRule="auto"/>
        <w:ind w:left="20"/>
        <w:jc w:val="both"/>
        <w:rPr>
          <w:i/>
        </w:rPr>
      </w:pPr>
    </w:p>
    <w:p w:rsidR="00CA509A" w:rsidRPr="00B3332D" w:rsidRDefault="00CA509A" w:rsidP="00B3332D">
      <w:pPr>
        <w:pStyle w:val="Nagwek30"/>
        <w:keepNext/>
        <w:keepLines/>
        <w:shd w:val="clear" w:color="auto" w:fill="auto"/>
        <w:spacing w:before="0" w:line="240" w:lineRule="auto"/>
        <w:ind w:left="20"/>
        <w:jc w:val="both"/>
        <w:rPr>
          <w:i/>
        </w:rPr>
      </w:pPr>
      <w:bookmarkStart w:id="1" w:name="bookmark3"/>
      <w:r w:rsidRPr="00B3332D">
        <w:rPr>
          <w:i/>
        </w:rPr>
        <w:t>Lp.4.1 Nadwyżka budżetowa z lat ubiegłych angażowana w budżecie roku bieżącego.</w:t>
      </w:r>
      <w:bookmarkEnd w:id="1"/>
    </w:p>
    <w:p w:rsidR="00CA509A" w:rsidRPr="00B3332D" w:rsidRDefault="00CA509A" w:rsidP="00B3332D">
      <w:pPr>
        <w:pStyle w:val="Teksttreci1"/>
        <w:shd w:val="clear" w:color="auto" w:fill="auto"/>
        <w:spacing w:after="0" w:line="240" w:lineRule="auto"/>
        <w:ind w:left="20"/>
        <w:jc w:val="both"/>
        <w:rPr>
          <w:i/>
        </w:rPr>
      </w:pPr>
      <w:r w:rsidRPr="00B3332D">
        <w:rPr>
          <w:i/>
        </w:rPr>
        <w:t>W tej pozycji wykazuje się tylko nadwyżkę</w:t>
      </w:r>
      <w:r w:rsidRPr="00B3332D">
        <w:rPr>
          <w:rStyle w:val="Teksttreci5"/>
          <w:i/>
        </w:rPr>
        <w:t xml:space="preserve"> budżetową z</w:t>
      </w:r>
      <w:r w:rsidRPr="00B3332D">
        <w:rPr>
          <w:i/>
        </w:rPr>
        <w:t xml:space="preserve"> lat ubieg</w:t>
      </w:r>
      <w:r w:rsidR="000B2DEB" w:rsidRPr="00B3332D">
        <w:rPr>
          <w:i/>
        </w:rPr>
        <w:t xml:space="preserve">łych oraz wolne środki wykonane, </w:t>
      </w:r>
      <w:r w:rsidRPr="00B3332D">
        <w:rPr>
          <w:i/>
        </w:rPr>
        <w:t>wynikające ze sporządzonego bilansu za rok.</w:t>
      </w:r>
      <w:r w:rsidR="000B2DEB" w:rsidRPr="00B3332D">
        <w:rPr>
          <w:i/>
        </w:rPr>
        <w:t xml:space="preserve"> </w:t>
      </w:r>
      <w:r w:rsidRPr="00B3332D">
        <w:rPr>
          <w:i/>
        </w:rPr>
        <w:t>W latach następnych zaangażowane mogą być wolne środki po bilansie roku 2013. Wolne środki zwiększają środki do dyspozycji na pozostałe zadania budżetu.</w:t>
      </w:r>
    </w:p>
    <w:p w:rsidR="000B2DEB" w:rsidRPr="00B3332D" w:rsidRDefault="000B2DEB" w:rsidP="00B3332D">
      <w:pPr>
        <w:pStyle w:val="Teksttreci1"/>
        <w:shd w:val="clear" w:color="auto" w:fill="auto"/>
        <w:spacing w:after="0" w:line="240" w:lineRule="auto"/>
        <w:ind w:left="20"/>
        <w:jc w:val="both"/>
        <w:rPr>
          <w:i/>
        </w:rPr>
      </w:pPr>
    </w:p>
    <w:p w:rsidR="00CA509A" w:rsidRPr="00B3332D" w:rsidRDefault="00CA509A" w:rsidP="00B3332D">
      <w:pPr>
        <w:pStyle w:val="Nagwek30"/>
        <w:keepNext/>
        <w:keepLines/>
        <w:shd w:val="clear" w:color="auto" w:fill="auto"/>
        <w:spacing w:before="0" w:line="240" w:lineRule="auto"/>
        <w:ind w:left="20"/>
        <w:jc w:val="both"/>
        <w:rPr>
          <w:i/>
        </w:rPr>
      </w:pPr>
      <w:bookmarkStart w:id="2" w:name="bookmark4"/>
      <w:r w:rsidRPr="00B3332D">
        <w:rPr>
          <w:i/>
        </w:rPr>
        <w:t>Lp.5. Inne przychody nie związane z zaciągnięciem długu (np. prywatyzacja)</w:t>
      </w:r>
      <w:bookmarkEnd w:id="2"/>
    </w:p>
    <w:p w:rsidR="00CA509A" w:rsidRDefault="00CA509A" w:rsidP="00B3332D">
      <w:pPr>
        <w:pStyle w:val="Teksttreci1"/>
        <w:shd w:val="clear" w:color="auto" w:fill="auto"/>
        <w:spacing w:after="0" w:line="240" w:lineRule="auto"/>
        <w:ind w:left="20"/>
        <w:jc w:val="both"/>
        <w:rPr>
          <w:i/>
        </w:rPr>
      </w:pPr>
      <w:r w:rsidRPr="00B3332D">
        <w:rPr>
          <w:i/>
        </w:rPr>
        <w:t>Brak jest planów przychodów z prywatyzacji w roku 2013 i latach następnych.</w:t>
      </w:r>
    </w:p>
    <w:p w:rsidR="00B3332D" w:rsidRPr="00B3332D" w:rsidRDefault="00B3332D" w:rsidP="00B3332D">
      <w:pPr>
        <w:pStyle w:val="Teksttreci1"/>
        <w:shd w:val="clear" w:color="auto" w:fill="auto"/>
        <w:spacing w:after="0" w:line="240" w:lineRule="auto"/>
        <w:ind w:left="20"/>
        <w:jc w:val="both"/>
        <w:rPr>
          <w:i/>
        </w:rPr>
      </w:pPr>
    </w:p>
    <w:p w:rsidR="00CA509A" w:rsidRDefault="00CA509A" w:rsidP="00B3332D">
      <w:pPr>
        <w:pStyle w:val="Teksttreci1"/>
        <w:shd w:val="clear" w:color="auto" w:fill="auto"/>
        <w:spacing w:after="0" w:line="240" w:lineRule="auto"/>
        <w:ind w:left="20"/>
        <w:jc w:val="both"/>
        <w:rPr>
          <w:i/>
        </w:rPr>
      </w:pPr>
      <w:r w:rsidRPr="00B3332D">
        <w:rPr>
          <w:rStyle w:val="TeksttreciPogrubienie4"/>
          <w:i/>
        </w:rPr>
        <w:t>Lp.6. Środki do dyspozycji (3+4+5)</w:t>
      </w:r>
      <w:r w:rsidR="000B2DEB" w:rsidRPr="00B3332D">
        <w:rPr>
          <w:i/>
        </w:rPr>
        <w:t xml:space="preserve">. </w:t>
      </w:r>
      <w:r w:rsidRPr="00B3332D">
        <w:rPr>
          <w:i/>
        </w:rPr>
        <w:t>Przedstawione wielkości stanowią różnicę pomiędzy dochodami ogółem, a wydatkami bieżącymi (bez odsetek i prowizji od: kredytów i pożyczek oraz wyemitowanych papierów wartościowych) powiększone</w:t>
      </w:r>
      <w:r w:rsidR="00A85F2B">
        <w:rPr>
          <w:i/>
        </w:rPr>
        <w:t xml:space="preserve">      </w:t>
      </w:r>
      <w:r w:rsidRPr="00B3332D">
        <w:rPr>
          <w:i/>
        </w:rPr>
        <w:t xml:space="preserve"> o wolne środki.</w:t>
      </w:r>
    </w:p>
    <w:p w:rsidR="00B3332D" w:rsidRPr="00B3332D" w:rsidRDefault="00B3332D" w:rsidP="00B3332D">
      <w:pPr>
        <w:pStyle w:val="Teksttreci1"/>
        <w:shd w:val="clear" w:color="auto" w:fill="auto"/>
        <w:spacing w:after="0" w:line="240" w:lineRule="auto"/>
        <w:ind w:left="20"/>
        <w:jc w:val="both"/>
        <w:rPr>
          <w:i/>
        </w:rPr>
      </w:pPr>
    </w:p>
    <w:p w:rsidR="00CA509A" w:rsidRPr="00B3332D" w:rsidRDefault="00CA509A" w:rsidP="00B3332D">
      <w:pPr>
        <w:pStyle w:val="Teksttreci1"/>
        <w:shd w:val="clear" w:color="auto" w:fill="auto"/>
        <w:spacing w:after="0" w:line="240" w:lineRule="auto"/>
        <w:ind w:left="20"/>
        <w:jc w:val="both"/>
        <w:rPr>
          <w:i/>
        </w:rPr>
      </w:pPr>
      <w:r w:rsidRPr="00B3332D">
        <w:rPr>
          <w:rStyle w:val="TeksttreciPogrubienie4"/>
          <w:i/>
        </w:rPr>
        <w:t>Lp.7. Spłata i obsługa długu,</w:t>
      </w:r>
      <w:r w:rsidRPr="00B3332D">
        <w:rPr>
          <w:i/>
        </w:rPr>
        <w:t xml:space="preserve"> </w:t>
      </w:r>
      <w:r w:rsidRPr="00B3332D">
        <w:rPr>
          <w:b/>
          <w:i/>
        </w:rPr>
        <w:t>z tego:</w:t>
      </w:r>
      <w:r w:rsidRPr="00B3332D">
        <w:rPr>
          <w:i/>
        </w:rPr>
        <w:t>- W pozycji tej zawarte są rozchody z tytułu spłat rat kapitałowych</w:t>
      </w:r>
      <w:r w:rsidR="00A54AF7" w:rsidRPr="00B3332D">
        <w:rPr>
          <w:i/>
        </w:rPr>
        <w:t>,</w:t>
      </w:r>
      <w:r w:rsidRPr="00B3332D">
        <w:rPr>
          <w:rStyle w:val="Teksttreci5"/>
          <w:i/>
        </w:rPr>
        <w:t xml:space="preserve"> wykupu</w:t>
      </w:r>
      <w:r w:rsidRPr="00B3332D">
        <w:rPr>
          <w:i/>
        </w:rPr>
        <w:t xml:space="preserve"> papierów oraz wydatki bieżące na obsługę długu dotyczące odsetek.</w:t>
      </w:r>
    </w:p>
    <w:p w:rsidR="00CA509A" w:rsidRPr="00B3332D" w:rsidRDefault="00CA509A" w:rsidP="00B3332D">
      <w:pPr>
        <w:pStyle w:val="Teksttreci1"/>
        <w:numPr>
          <w:ilvl w:val="0"/>
          <w:numId w:val="29"/>
        </w:numPr>
        <w:shd w:val="clear" w:color="auto" w:fill="auto"/>
        <w:tabs>
          <w:tab w:val="left" w:pos="1009"/>
        </w:tabs>
        <w:spacing w:after="0" w:line="240" w:lineRule="auto"/>
        <w:jc w:val="both"/>
        <w:rPr>
          <w:i/>
        </w:rPr>
      </w:pPr>
      <w:r w:rsidRPr="00B3332D">
        <w:rPr>
          <w:i/>
        </w:rPr>
        <w:t>rozchody z tytułu spłat rat kapitałowych oraz wykupu papierów</w:t>
      </w:r>
      <w:r w:rsidR="00A54AF7" w:rsidRPr="00B3332D">
        <w:rPr>
          <w:i/>
        </w:rPr>
        <w:t>, wiersz 7a</w:t>
      </w:r>
      <w:r w:rsidRPr="00B3332D">
        <w:rPr>
          <w:i/>
        </w:rPr>
        <w:t xml:space="preserve"> - przedstawione wielkości (spłata rat kredytów i pożyczek, wykup papierów) - obejmują spłaty rat kredytów i obligacji zaplanowane do spłaty w 2013</w:t>
      </w:r>
      <w:r w:rsidRPr="00B3332D">
        <w:rPr>
          <w:rStyle w:val="Teksttreci5"/>
          <w:i/>
        </w:rPr>
        <w:t xml:space="preserve">r. </w:t>
      </w:r>
      <w:r w:rsidRPr="00B3332D">
        <w:rPr>
          <w:i/>
        </w:rPr>
        <w:t xml:space="preserve">Rok 2013 zawiera zaplanowane raty spłaty ujęte w rozchodach w uchwale budżetowej na 2013r. Prognoza na lata 2014-2024 zawiera spłaty rat </w:t>
      </w:r>
      <w:r w:rsidR="008344FB">
        <w:rPr>
          <w:i/>
        </w:rPr>
        <w:br/>
      </w:r>
      <w:r w:rsidRPr="00B3332D">
        <w:rPr>
          <w:i/>
        </w:rPr>
        <w:t>w poszczególnych latach wynikające z umów .</w:t>
      </w:r>
    </w:p>
    <w:p w:rsidR="00CA509A" w:rsidRPr="00B3332D" w:rsidRDefault="00CA509A" w:rsidP="00B3332D">
      <w:pPr>
        <w:pStyle w:val="Teksttreci1"/>
        <w:numPr>
          <w:ilvl w:val="0"/>
          <w:numId w:val="29"/>
        </w:numPr>
        <w:shd w:val="clear" w:color="auto" w:fill="auto"/>
        <w:tabs>
          <w:tab w:val="left" w:pos="1016"/>
        </w:tabs>
        <w:spacing w:after="0" w:line="240" w:lineRule="auto"/>
        <w:jc w:val="both"/>
        <w:rPr>
          <w:rStyle w:val="Teksttreci5"/>
          <w:i/>
          <w:shd w:val="clear" w:color="auto" w:fill="auto"/>
        </w:rPr>
      </w:pPr>
      <w:r w:rsidRPr="00B3332D">
        <w:rPr>
          <w:i/>
        </w:rPr>
        <w:t>wydatki bieżące na obsługę długu</w:t>
      </w:r>
      <w:r w:rsidR="00A54AF7" w:rsidRPr="00B3332D">
        <w:rPr>
          <w:i/>
        </w:rPr>
        <w:t>, w tym odsetki i dyskonto, wiersz 7b i 7b1</w:t>
      </w:r>
      <w:r w:rsidRPr="00B3332D">
        <w:rPr>
          <w:i/>
        </w:rPr>
        <w:t xml:space="preserve"> - ujęto do zapłacenia odsetki od kredytów i obligacji przewidywanych do zapłaty w 2013r. Na rok 2013 przyjęto zaplanowane odsetki w uchwale budżetowej na 2013r. zgodnie z umowami zawartymi z bankami z tytułu zaciągniętych kredytów i emisji obligacji. Prognoza na lata 2014 - 2024 zawiera wyliczenie odsetek oszacowane na podstawie wartości kredytów i wyemitowanych obligacji i stóp procentowych – oddzielnie dla każdego kredytu i obligacji. </w:t>
      </w:r>
      <w:r w:rsidRPr="00B3332D">
        <w:rPr>
          <w:rStyle w:val="Teksttreci5"/>
          <w:i/>
        </w:rPr>
        <w:t xml:space="preserve"> Dodatkowo, w wydatkach tych uwzględniono odsetki od pożyczki preferencyjnej z budżetu państwa.</w:t>
      </w:r>
    </w:p>
    <w:p w:rsidR="00B3332D" w:rsidRDefault="00B3332D" w:rsidP="008344FB">
      <w:pPr>
        <w:pStyle w:val="Teksttreci1"/>
        <w:shd w:val="clear" w:color="auto" w:fill="auto"/>
        <w:tabs>
          <w:tab w:val="left" w:pos="1016"/>
        </w:tabs>
        <w:spacing w:after="0" w:line="240" w:lineRule="auto"/>
        <w:ind w:left="720"/>
        <w:jc w:val="both"/>
        <w:rPr>
          <w:rStyle w:val="Teksttreci5"/>
          <w:i/>
          <w:shd w:val="clear" w:color="auto" w:fill="auto"/>
        </w:rPr>
      </w:pPr>
    </w:p>
    <w:p w:rsidR="008344FB" w:rsidRPr="00B3332D" w:rsidRDefault="008344FB" w:rsidP="008344FB">
      <w:pPr>
        <w:pStyle w:val="Teksttreci1"/>
        <w:shd w:val="clear" w:color="auto" w:fill="auto"/>
        <w:tabs>
          <w:tab w:val="left" w:pos="1016"/>
        </w:tabs>
        <w:spacing w:after="0" w:line="240" w:lineRule="auto"/>
        <w:ind w:left="720"/>
        <w:jc w:val="both"/>
        <w:rPr>
          <w:rStyle w:val="Teksttreci5"/>
          <w:i/>
          <w:shd w:val="clear" w:color="auto" w:fill="auto"/>
        </w:rPr>
      </w:pPr>
    </w:p>
    <w:p w:rsidR="00C53091" w:rsidRPr="00B3332D" w:rsidRDefault="00C53091" w:rsidP="00B3332D">
      <w:pPr>
        <w:pStyle w:val="Teksttreci1"/>
        <w:shd w:val="clear" w:color="auto" w:fill="auto"/>
        <w:tabs>
          <w:tab w:val="left" w:pos="1016"/>
        </w:tabs>
        <w:spacing w:after="0" w:line="240" w:lineRule="auto"/>
        <w:jc w:val="center"/>
        <w:rPr>
          <w:rStyle w:val="Teksttreci5"/>
          <w:b/>
          <w:i/>
        </w:rPr>
      </w:pPr>
      <w:r w:rsidRPr="00B3332D">
        <w:rPr>
          <w:rStyle w:val="Teksttreci5"/>
          <w:b/>
          <w:i/>
        </w:rPr>
        <w:t>Zestawienie spłaty kr</w:t>
      </w:r>
      <w:r w:rsidR="008344FB">
        <w:rPr>
          <w:rStyle w:val="Teksttreci5"/>
          <w:b/>
          <w:i/>
        </w:rPr>
        <w:t>edytów wraz z odsetkami w tys. z</w:t>
      </w:r>
      <w:r w:rsidRPr="00B3332D">
        <w:rPr>
          <w:rStyle w:val="Teksttreci5"/>
          <w:b/>
          <w:i/>
        </w:rPr>
        <w:t>ł.</w:t>
      </w:r>
    </w:p>
    <w:tbl>
      <w:tblPr>
        <w:tblW w:w="9284" w:type="dxa"/>
        <w:tblInd w:w="-72" w:type="dxa"/>
        <w:tblCellMar>
          <w:left w:w="70" w:type="dxa"/>
          <w:right w:w="70" w:type="dxa"/>
        </w:tblCellMar>
        <w:tblLook w:val="04A0"/>
      </w:tblPr>
      <w:tblGrid>
        <w:gridCol w:w="992"/>
        <w:gridCol w:w="691"/>
        <w:gridCol w:w="691"/>
        <w:gridCol w:w="691"/>
        <w:gridCol w:w="691"/>
        <w:gridCol w:w="691"/>
        <w:gridCol w:w="691"/>
        <w:gridCol w:w="691"/>
        <w:gridCol w:w="691"/>
        <w:gridCol w:w="691"/>
        <w:gridCol w:w="691"/>
        <w:gridCol w:w="691"/>
        <w:gridCol w:w="691"/>
      </w:tblGrid>
      <w:tr w:rsidR="00A54AF7" w:rsidRPr="00B3332D" w:rsidTr="00B3332D">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Lata</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2013</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201</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215</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2016</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2017</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2018</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2019</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2020</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2021</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2022</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2023</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2024</w:t>
            </w:r>
          </w:p>
        </w:tc>
      </w:tr>
      <w:tr w:rsidR="00A54AF7" w:rsidRPr="00B3332D" w:rsidTr="00B3332D">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 xml:space="preserve">rata </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4106</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3865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3545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3665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3665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4385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3885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5240</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2384</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183</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0</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0</w:t>
            </w:r>
          </w:p>
        </w:tc>
      </w:tr>
      <w:tr w:rsidR="00A54AF7" w:rsidRPr="00B3332D" w:rsidTr="00B3332D">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odsetki</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2277</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1926</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1678</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1437</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1194</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941</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689</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435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230</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120</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69</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i/>
                <w:color w:val="000000"/>
                <w:sz w:val="26"/>
                <w:szCs w:val="26"/>
              </w:rPr>
            </w:pPr>
            <w:r w:rsidRPr="00B3332D">
              <w:rPr>
                <w:rFonts w:ascii="Czcionka tekstu podstawowego" w:hAnsi="Czcionka tekstu podstawowego"/>
                <w:i/>
                <w:color w:val="000000"/>
                <w:sz w:val="26"/>
                <w:szCs w:val="26"/>
              </w:rPr>
              <w:t>24</w:t>
            </w:r>
          </w:p>
        </w:tc>
      </w:tr>
      <w:tr w:rsidR="00A54AF7" w:rsidRPr="00B3332D" w:rsidTr="00B3332D">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54AF7" w:rsidRPr="00B3332D" w:rsidRDefault="00A54AF7" w:rsidP="00B3332D">
            <w:pPr>
              <w:jc w:val="both"/>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Razem</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6383</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5791</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5223</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5102</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4859</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5326</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4574</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5675</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2614</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303</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69</w:t>
            </w:r>
          </w:p>
        </w:tc>
        <w:tc>
          <w:tcPr>
            <w:tcW w:w="691" w:type="dxa"/>
            <w:tcBorders>
              <w:top w:val="nil"/>
              <w:left w:val="nil"/>
              <w:bottom w:val="single" w:sz="4" w:space="0" w:color="auto"/>
              <w:right w:val="single" w:sz="4" w:space="0" w:color="auto"/>
            </w:tcBorders>
            <w:shd w:val="clear" w:color="auto" w:fill="auto"/>
            <w:noWrap/>
            <w:vAlign w:val="bottom"/>
            <w:hideMark/>
          </w:tcPr>
          <w:p w:rsidR="00A54AF7" w:rsidRPr="00B3332D" w:rsidRDefault="00A54AF7" w:rsidP="00B3332D">
            <w:pPr>
              <w:jc w:val="center"/>
              <w:rPr>
                <w:rFonts w:ascii="Czcionka tekstu podstawowego" w:hAnsi="Czcionka tekstu podstawowego"/>
                <w:b/>
                <w:bCs/>
                <w:i/>
                <w:color w:val="000000"/>
                <w:sz w:val="26"/>
                <w:szCs w:val="26"/>
              </w:rPr>
            </w:pPr>
            <w:r w:rsidRPr="00B3332D">
              <w:rPr>
                <w:rFonts w:ascii="Czcionka tekstu podstawowego" w:hAnsi="Czcionka tekstu podstawowego"/>
                <w:b/>
                <w:bCs/>
                <w:i/>
                <w:color w:val="000000"/>
                <w:sz w:val="26"/>
                <w:szCs w:val="26"/>
              </w:rPr>
              <w:t>24</w:t>
            </w:r>
          </w:p>
        </w:tc>
      </w:tr>
    </w:tbl>
    <w:p w:rsidR="00A54AF7" w:rsidRPr="00B3332D" w:rsidRDefault="00A54AF7" w:rsidP="00B3332D">
      <w:pPr>
        <w:pStyle w:val="Teksttreci1"/>
        <w:shd w:val="clear" w:color="auto" w:fill="auto"/>
        <w:tabs>
          <w:tab w:val="left" w:pos="1016"/>
        </w:tabs>
        <w:spacing w:after="0" w:line="240" w:lineRule="auto"/>
        <w:jc w:val="both"/>
        <w:rPr>
          <w:i/>
        </w:rPr>
      </w:pPr>
    </w:p>
    <w:p w:rsidR="00F4213D" w:rsidRDefault="00F4213D" w:rsidP="008344FB">
      <w:pPr>
        <w:pStyle w:val="Teksttreci1"/>
        <w:shd w:val="clear" w:color="auto" w:fill="auto"/>
        <w:spacing w:after="0" w:line="240" w:lineRule="auto"/>
        <w:jc w:val="both"/>
        <w:rPr>
          <w:i/>
        </w:rPr>
      </w:pPr>
      <w:r w:rsidRPr="00B3332D">
        <w:rPr>
          <w:b/>
          <w:i/>
        </w:rPr>
        <w:lastRenderedPageBreak/>
        <w:t>Lp</w:t>
      </w:r>
      <w:r w:rsidRPr="00A85F2B">
        <w:rPr>
          <w:b/>
          <w:i/>
        </w:rPr>
        <w:t>.</w:t>
      </w:r>
      <w:r w:rsidRPr="00B3332D">
        <w:rPr>
          <w:rStyle w:val="Pogrubienie"/>
          <w:i/>
          <w:iCs/>
          <w:spacing w:val="20"/>
          <w:sz w:val="26"/>
          <w:szCs w:val="26"/>
        </w:rPr>
        <w:t>9.</w:t>
      </w:r>
      <w:r w:rsidRPr="00B3332D">
        <w:rPr>
          <w:rStyle w:val="TeksttreciPogrubienie4"/>
          <w:i/>
        </w:rPr>
        <w:t xml:space="preserve"> Środki</w:t>
      </w:r>
      <w:r w:rsidRPr="00B3332D">
        <w:rPr>
          <w:b/>
          <w:i/>
        </w:rPr>
        <w:t xml:space="preserve"> do dyspozycji</w:t>
      </w:r>
      <w:r w:rsidR="00C53091" w:rsidRPr="00B3332D">
        <w:rPr>
          <w:i/>
        </w:rPr>
        <w:t xml:space="preserve"> (6-7-8). </w:t>
      </w:r>
      <w:r w:rsidRPr="00B3332D">
        <w:rPr>
          <w:i/>
        </w:rPr>
        <w:t>Przedstawione wielkości stanowią różnicę pomiędzy dochodami ogółem</w:t>
      </w:r>
      <w:r w:rsidR="00B525EE">
        <w:rPr>
          <w:i/>
        </w:rPr>
        <w:t>,</w:t>
      </w:r>
      <w:r w:rsidRPr="00B3332D">
        <w:rPr>
          <w:i/>
        </w:rPr>
        <w:t xml:space="preserve"> a wydatkami bieżącymi (bez odsetek i prowizji) powiększone o nadwyżkę budżetową lub wolne środki i pomniejszone o spłatę rat </w:t>
      </w:r>
      <w:r w:rsidR="008344FB">
        <w:rPr>
          <w:i/>
        </w:rPr>
        <w:br/>
      </w:r>
      <w:r w:rsidRPr="00B3332D">
        <w:rPr>
          <w:i/>
        </w:rPr>
        <w:t>i obsługę długu.</w:t>
      </w:r>
    </w:p>
    <w:p w:rsidR="00B3332D" w:rsidRPr="00B3332D" w:rsidRDefault="00B3332D" w:rsidP="00B3332D">
      <w:pPr>
        <w:pStyle w:val="Teksttreci1"/>
        <w:shd w:val="clear" w:color="auto" w:fill="auto"/>
        <w:spacing w:after="0" w:line="240" w:lineRule="auto"/>
        <w:ind w:right="480"/>
        <w:jc w:val="both"/>
        <w:rPr>
          <w:i/>
        </w:rPr>
      </w:pPr>
    </w:p>
    <w:p w:rsidR="00F4213D" w:rsidRPr="00B3332D" w:rsidRDefault="00F4213D" w:rsidP="008344FB">
      <w:pPr>
        <w:pStyle w:val="Teksttreci1"/>
        <w:shd w:val="clear" w:color="auto" w:fill="auto"/>
        <w:spacing w:after="0" w:line="240" w:lineRule="auto"/>
        <w:jc w:val="both"/>
        <w:rPr>
          <w:i/>
        </w:rPr>
      </w:pPr>
      <w:r w:rsidRPr="00F815D8">
        <w:rPr>
          <w:rStyle w:val="TeksttreciPogrubienie3"/>
          <w:i/>
        </w:rPr>
        <w:t>Lp.10</w:t>
      </w:r>
      <w:r w:rsidRPr="00F815D8">
        <w:rPr>
          <w:rStyle w:val="TeksttreciPogrubienie3"/>
          <w:b w:val="0"/>
          <w:i/>
        </w:rPr>
        <w:t>.</w:t>
      </w:r>
      <w:r w:rsidRPr="00F815D8">
        <w:rPr>
          <w:b/>
          <w:i/>
        </w:rPr>
        <w:t xml:space="preserve"> Wydatki majątkowe</w:t>
      </w:r>
      <w:r w:rsidRPr="00F815D8">
        <w:rPr>
          <w:i/>
        </w:rPr>
        <w:t xml:space="preserve"> </w:t>
      </w:r>
      <w:r w:rsidRPr="00B3332D">
        <w:rPr>
          <w:i/>
        </w:rPr>
        <w:t>- nakłady na wydatki majątkowe w poszczególnych latach ustalono w oparciu o wydatki majątkowe ujęte w Wieloletniej Prognozie Finansowej Powiatu Tucholskiego na lata 2013-2024r. Rok 2013 zgodny z planem budżetowym. Kwoty wykazane w latach 2013-2024 zawierają wydatki inwestycyjne obejmujące międ</w:t>
      </w:r>
      <w:r w:rsidR="00C53091" w:rsidRPr="00B3332D">
        <w:rPr>
          <w:i/>
        </w:rPr>
        <w:t>zy innymi zawarte porozumienie</w:t>
      </w:r>
      <w:r w:rsidRPr="00B3332D">
        <w:rPr>
          <w:i/>
        </w:rPr>
        <w:t xml:space="preserve"> w formie wykupu wierzytelności inwestycji budowy Szpitala Tucholskiego, wartość projektu w poszczególnych latach to 759.036,12 zł oraz pozostałe wydatki inwestycyjne w wysokości pozwalającej realizować następne zadania w latach 2019-2024 w zależności od możliwości budżetów prognozowanych w poszczególnych latach.</w:t>
      </w:r>
    </w:p>
    <w:p w:rsidR="003D079C" w:rsidRDefault="00F4213D" w:rsidP="008344FB">
      <w:pPr>
        <w:pStyle w:val="Teksttreci1"/>
        <w:numPr>
          <w:ilvl w:val="0"/>
          <w:numId w:val="30"/>
        </w:numPr>
        <w:shd w:val="clear" w:color="auto" w:fill="auto"/>
        <w:spacing w:after="0" w:line="240" w:lineRule="auto"/>
        <w:jc w:val="both"/>
        <w:rPr>
          <w:i/>
        </w:rPr>
      </w:pPr>
      <w:r w:rsidRPr="00B3332D">
        <w:rPr>
          <w:i/>
        </w:rPr>
        <w:t>wydatki majątkowe obję</w:t>
      </w:r>
      <w:r w:rsidR="00C53091" w:rsidRPr="00B3332D">
        <w:rPr>
          <w:i/>
        </w:rPr>
        <w:t xml:space="preserve">te limitem art.226 ust. 4 ufp, wiersz 10a, </w:t>
      </w:r>
      <w:r w:rsidRPr="00B3332D">
        <w:rPr>
          <w:i/>
        </w:rPr>
        <w:t xml:space="preserve">ujęto w tej kategorii - wieloletnią umowę - dotyczącą wykupu wierzytelności w związku </w:t>
      </w:r>
      <w:r w:rsidR="008344FB">
        <w:rPr>
          <w:i/>
        </w:rPr>
        <w:br/>
      </w:r>
      <w:r w:rsidRPr="00B3332D">
        <w:rPr>
          <w:i/>
        </w:rPr>
        <w:t>z budową Szpitala Tucholskiego zawartą do 2024r.</w:t>
      </w:r>
    </w:p>
    <w:p w:rsidR="00B3332D" w:rsidRPr="00B3332D" w:rsidRDefault="00B3332D" w:rsidP="00B3332D">
      <w:pPr>
        <w:pStyle w:val="Teksttreci1"/>
        <w:shd w:val="clear" w:color="auto" w:fill="auto"/>
        <w:spacing w:after="0" w:line="240" w:lineRule="auto"/>
        <w:ind w:left="720" w:right="280"/>
        <w:jc w:val="both"/>
        <w:rPr>
          <w:i/>
        </w:rPr>
      </w:pPr>
    </w:p>
    <w:p w:rsidR="00F4213D" w:rsidRDefault="00F4213D" w:rsidP="008344FB">
      <w:pPr>
        <w:pStyle w:val="Teksttreci1"/>
        <w:shd w:val="clear" w:color="auto" w:fill="auto"/>
        <w:spacing w:after="0" w:line="240" w:lineRule="auto"/>
        <w:jc w:val="both"/>
        <w:rPr>
          <w:i/>
        </w:rPr>
      </w:pPr>
      <w:r w:rsidRPr="00B3332D">
        <w:rPr>
          <w:rStyle w:val="TeksttreciPogrubienie3"/>
          <w:i/>
        </w:rPr>
        <w:t>Lp.11. Kredyty, pożyczki, sprzedaż papierów wartościowych</w:t>
      </w:r>
      <w:r w:rsidR="00C53091" w:rsidRPr="00B3332D">
        <w:rPr>
          <w:i/>
        </w:rPr>
        <w:t>.</w:t>
      </w:r>
      <w:r w:rsidRPr="00B3332D">
        <w:rPr>
          <w:i/>
        </w:rPr>
        <w:t xml:space="preserve"> Prognoza na lata 2013- 2024 nie zakłada zaciągnięcia kredytów i pożyczek oraz emitowania papierów.</w:t>
      </w:r>
    </w:p>
    <w:p w:rsidR="00B3332D" w:rsidRPr="00B3332D" w:rsidRDefault="00B3332D" w:rsidP="00B3332D">
      <w:pPr>
        <w:pStyle w:val="Teksttreci1"/>
        <w:shd w:val="clear" w:color="auto" w:fill="auto"/>
        <w:spacing w:after="0" w:line="240" w:lineRule="auto"/>
        <w:ind w:right="280"/>
        <w:jc w:val="both"/>
        <w:rPr>
          <w:i/>
        </w:rPr>
      </w:pPr>
    </w:p>
    <w:p w:rsidR="004D54CD" w:rsidRPr="00B3332D" w:rsidRDefault="00F4213D" w:rsidP="00B3332D">
      <w:pPr>
        <w:jc w:val="both"/>
        <w:rPr>
          <w:i/>
          <w:sz w:val="26"/>
          <w:szCs w:val="26"/>
        </w:rPr>
      </w:pPr>
      <w:r w:rsidRPr="00B3332D">
        <w:rPr>
          <w:rStyle w:val="TeksttreciPogrubienie3"/>
          <w:i/>
        </w:rPr>
        <w:t>Lp.13.</w:t>
      </w:r>
      <w:r w:rsidRPr="00B3332D">
        <w:rPr>
          <w:i/>
          <w:sz w:val="26"/>
          <w:szCs w:val="26"/>
        </w:rPr>
        <w:t xml:space="preserve"> </w:t>
      </w:r>
      <w:r w:rsidRPr="00B3332D">
        <w:rPr>
          <w:b/>
          <w:i/>
          <w:sz w:val="26"/>
          <w:szCs w:val="26"/>
        </w:rPr>
        <w:t>Kwota długu</w:t>
      </w:r>
      <w:r w:rsidRPr="00B3332D">
        <w:rPr>
          <w:i/>
          <w:sz w:val="26"/>
          <w:szCs w:val="26"/>
        </w:rPr>
        <w:t xml:space="preserve"> - Kwota wykazana jako dług na koniec każdego roku jest wynikiem działania długu z poprzedniego roku + zaciągnięty dług - spłata długu</w:t>
      </w:r>
      <w:r w:rsidR="002E74F4" w:rsidRPr="00B3332D">
        <w:rPr>
          <w:i/>
          <w:sz w:val="26"/>
          <w:szCs w:val="26"/>
        </w:rPr>
        <w:t>.</w:t>
      </w:r>
    </w:p>
    <w:p w:rsidR="00F4213D" w:rsidRPr="00B3332D" w:rsidRDefault="00F4213D" w:rsidP="00B3332D">
      <w:pPr>
        <w:pStyle w:val="Teksttreci1"/>
        <w:shd w:val="clear" w:color="auto" w:fill="auto"/>
        <w:spacing w:after="0" w:line="240" w:lineRule="auto"/>
        <w:ind w:right="280"/>
        <w:jc w:val="both"/>
        <w:rPr>
          <w:i/>
        </w:rPr>
      </w:pPr>
    </w:p>
    <w:tbl>
      <w:tblPr>
        <w:tblW w:w="8780" w:type="dxa"/>
        <w:tblInd w:w="57" w:type="dxa"/>
        <w:tblCellMar>
          <w:left w:w="70" w:type="dxa"/>
          <w:right w:w="70" w:type="dxa"/>
        </w:tblCellMar>
        <w:tblLook w:val="04A0"/>
      </w:tblPr>
      <w:tblGrid>
        <w:gridCol w:w="2200"/>
        <w:gridCol w:w="6580"/>
      </w:tblGrid>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Wyliczenie długu na koniec 2011 roku:</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900 000,00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2 115 593,92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118 251,85</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Leasing</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3 892 881,89</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3 506 779,47</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3 100 000,00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Zaciągnięcie kredytu</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37 627 857,72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2011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b/>
                <w:bCs/>
                <w:color w:val="000000"/>
                <w:sz w:val="26"/>
                <w:szCs w:val="26"/>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b/>
                <w:bCs/>
                <w:color w:val="000000"/>
                <w:sz w:val="26"/>
                <w:szCs w:val="26"/>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Wyliczenie długu na koniec 2012 roku:</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lastRenderedPageBreak/>
              <w:t>1 600 000,00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2 384 366,32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97 013,64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Leasing</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4 840 416,08</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3 300 000,00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Zaciągnięcie kredytu</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7 918 388,39</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Pożyczka z budżetu państwa</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11 218 388,39</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kredyty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44 005 830,03</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2012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2013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1 600 000,00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2 506 086,98</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100 556,04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Leasing</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4 965 679,14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39 040 150,89</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2013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2014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1 200 000,00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2 664 857,02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4 623 893,14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34 416 257,75</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2014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r w:rsidRPr="00F26753">
              <w:rPr>
                <w:rFonts w:ascii="Calibri" w:hAnsi="Calibri"/>
                <w:color w:val="000000"/>
                <w:sz w:val="22"/>
                <w:szCs w:val="22"/>
              </w:rPr>
              <w:lastRenderedPageBreak/>
              <w:t xml:space="preserve">       </w:t>
            </w: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2015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1 200 000,00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2 345 184,72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4 304 220,84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30 112 036,91</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2015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2016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1 200 000,00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2 465 184,72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4 424 220,84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25 687 816,07</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2016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2017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1 200 000,00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2 465 184,72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4 424 220,84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21 263 595,23</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2017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2018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1 200 000,00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lastRenderedPageBreak/>
              <w:t>3 185 184,72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5 144 220,84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16 119 374,39</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2018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2019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3 185 184,72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4 644 220,84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11 475 153,55</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2019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2020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4 540 058,24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5 999 094,36</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5 476 059,19</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2020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2021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700 000,00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obligacji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1 683 540,39</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3 142 576,51</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lastRenderedPageBreak/>
              <w:t>2 333 482,68</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2021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2022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182 880,00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941 916,12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1 391 566,56</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2022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2023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Spłata kredytów</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759 036,12</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632 530,44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2023 roku.</w:t>
            </w: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301"/>
        </w:trPr>
        <w:tc>
          <w:tcPr>
            <w:tcW w:w="220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c>
          <w:tcPr>
            <w:tcW w:w="6580" w:type="dxa"/>
            <w:tcBorders>
              <w:top w:val="nil"/>
              <w:left w:val="nil"/>
              <w:bottom w:val="nil"/>
              <w:right w:val="nil"/>
            </w:tcBorders>
            <w:shd w:val="clear" w:color="auto" w:fill="auto"/>
            <w:vAlign w:val="center"/>
            <w:hideMark/>
          </w:tcPr>
          <w:p w:rsidR="00F26753" w:rsidRPr="00F26753" w:rsidRDefault="00F26753" w:rsidP="00F26753">
            <w:pPr>
              <w:jc w:val="center"/>
              <w:rPr>
                <w:rFonts w:ascii="Calibri" w:hAnsi="Calibri"/>
                <w:color w:val="000000"/>
              </w:rPr>
            </w:pPr>
          </w:p>
        </w:tc>
      </w:tr>
      <w:tr w:rsidR="00F26753" w:rsidRPr="00F26753" w:rsidTr="00F26753">
        <w:trPr>
          <w:trHeight w:val="56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 </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Kwota długu planowana na koniec 2024 roku składa się:</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632 530,44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color w:val="000000"/>
                <w:sz w:val="26"/>
                <w:szCs w:val="26"/>
              </w:rPr>
            </w:pPr>
            <w:r w:rsidRPr="00F26753">
              <w:rPr>
                <w:rFonts w:ascii="Calibri" w:hAnsi="Calibri"/>
                <w:color w:val="000000"/>
                <w:sz w:val="26"/>
                <w:szCs w:val="26"/>
              </w:rPr>
              <w:t>Wierzytelności</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632 530,44</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i/>
                <w:iCs/>
                <w:color w:val="000000"/>
                <w:sz w:val="26"/>
                <w:szCs w:val="26"/>
              </w:rPr>
            </w:pPr>
            <w:r w:rsidRPr="00F26753">
              <w:rPr>
                <w:rFonts w:ascii="Calibri" w:hAnsi="Calibri"/>
                <w:b/>
                <w:bCs/>
                <w:i/>
                <w:iCs/>
                <w:color w:val="000000"/>
                <w:sz w:val="26"/>
                <w:szCs w:val="26"/>
              </w:rPr>
              <w:t xml:space="preserve"> Razem spłaty</w:t>
            </w:r>
          </w:p>
        </w:tc>
      </w:tr>
      <w:tr w:rsidR="00F26753" w:rsidRPr="00F26753" w:rsidTr="00F26753">
        <w:trPr>
          <w:trHeight w:val="56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0,00</w:t>
            </w:r>
          </w:p>
        </w:tc>
        <w:tc>
          <w:tcPr>
            <w:tcW w:w="6580" w:type="dxa"/>
            <w:tcBorders>
              <w:top w:val="nil"/>
              <w:left w:val="nil"/>
              <w:bottom w:val="single" w:sz="4" w:space="0" w:color="auto"/>
              <w:right w:val="single" w:sz="4" w:space="0" w:color="auto"/>
            </w:tcBorders>
            <w:shd w:val="clear" w:color="auto" w:fill="auto"/>
            <w:vAlign w:val="center"/>
            <w:hideMark/>
          </w:tcPr>
          <w:p w:rsidR="00F26753" w:rsidRPr="00F26753" w:rsidRDefault="00F26753" w:rsidP="00F26753">
            <w:pPr>
              <w:jc w:val="center"/>
              <w:rPr>
                <w:rFonts w:ascii="Calibri" w:hAnsi="Calibri"/>
                <w:b/>
                <w:bCs/>
                <w:color w:val="000000"/>
                <w:sz w:val="26"/>
                <w:szCs w:val="26"/>
              </w:rPr>
            </w:pPr>
            <w:r w:rsidRPr="00F26753">
              <w:rPr>
                <w:rFonts w:ascii="Calibri" w:hAnsi="Calibri"/>
                <w:b/>
                <w:bCs/>
                <w:color w:val="000000"/>
                <w:sz w:val="26"/>
                <w:szCs w:val="26"/>
              </w:rPr>
              <w:t>Dług na koniec 2024 roku.</w:t>
            </w:r>
          </w:p>
        </w:tc>
      </w:tr>
    </w:tbl>
    <w:p w:rsidR="00F26753" w:rsidRPr="00B3332D" w:rsidRDefault="00F26753" w:rsidP="00B3332D">
      <w:pPr>
        <w:tabs>
          <w:tab w:val="left" w:pos="0"/>
        </w:tabs>
        <w:jc w:val="both"/>
        <w:rPr>
          <w:i/>
          <w:sz w:val="26"/>
          <w:szCs w:val="26"/>
        </w:rPr>
      </w:pPr>
    </w:p>
    <w:p w:rsidR="00895E71" w:rsidRPr="00B3332D" w:rsidRDefault="00895E71" w:rsidP="00B3332D">
      <w:pPr>
        <w:pStyle w:val="Teksttreci30"/>
        <w:shd w:val="clear" w:color="auto" w:fill="auto"/>
        <w:spacing w:after="0" w:line="240" w:lineRule="auto"/>
        <w:ind w:left="20"/>
        <w:jc w:val="both"/>
        <w:rPr>
          <w:b w:val="0"/>
          <w:i/>
        </w:rPr>
      </w:pPr>
      <w:r w:rsidRPr="00B3332D">
        <w:rPr>
          <w:i/>
        </w:rPr>
        <w:t>Lp.16. Kwota nadwyżki budżetowej planowanej w poszczeg</w:t>
      </w:r>
      <w:r w:rsidR="00C53091" w:rsidRPr="00B3332D">
        <w:rPr>
          <w:i/>
        </w:rPr>
        <w:t xml:space="preserve">ólnych latach objętych prognozą. </w:t>
      </w:r>
      <w:r w:rsidR="00C53091" w:rsidRPr="00B3332D">
        <w:rPr>
          <w:b w:val="0"/>
          <w:i/>
        </w:rPr>
        <w:t xml:space="preserve">W </w:t>
      </w:r>
      <w:r w:rsidRPr="00B3332D">
        <w:rPr>
          <w:b w:val="0"/>
          <w:i/>
        </w:rPr>
        <w:t>wierszu tym ujmuje się wypracowaną nadwyżkę budżetową niezbędną do spłaty rozchodów w poszczególnych latach.</w:t>
      </w:r>
    </w:p>
    <w:p w:rsidR="00895E71" w:rsidRPr="00B3332D" w:rsidRDefault="00895E71" w:rsidP="00B3332D">
      <w:pPr>
        <w:pStyle w:val="Teksttreci30"/>
        <w:shd w:val="clear" w:color="auto" w:fill="auto"/>
        <w:spacing w:after="0" w:line="240" w:lineRule="auto"/>
        <w:ind w:left="20"/>
        <w:jc w:val="both"/>
        <w:rPr>
          <w:b w:val="0"/>
          <w:i/>
        </w:rPr>
      </w:pPr>
    </w:p>
    <w:p w:rsidR="00895E71" w:rsidRDefault="00777678" w:rsidP="00B3332D">
      <w:pPr>
        <w:pStyle w:val="Teksttreci1"/>
        <w:shd w:val="clear" w:color="auto" w:fill="auto"/>
        <w:tabs>
          <w:tab w:val="left" w:pos="9072"/>
        </w:tabs>
        <w:spacing w:after="0" w:line="240" w:lineRule="auto"/>
        <w:ind w:left="20"/>
        <w:jc w:val="both"/>
        <w:rPr>
          <w:i/>
        </w:rPr>
      </w:pPr>
      <w:r w:rsidRPr="00B3332D">
        <w:rPr>
          <w:rStyle w:val="TeksttreciPogrubienie2"/>
          <w:i/>
        </w:rPr>
        <w:t xml:space="preserve">Lp.18 i 18a </w:t>
      </w:r>
      <w:r w:rsidR="00895E71" w:rsidRPr="00B3332D">
        <w:rPr>
          <w:rStyle w:val="TeksttreciPogrubienie2"/>
          <w:i/>
        </w:rPr>
        <w:t>Zadłużenie</w:t>
      </w:r>
      <w:r w:rsidR="00895E71" w:rsidRPr="00B3332D">
        <w:rPr>
          <w:i/>
        </w:rPr>
        <w:t>/dochody ogółem - max</w:t>
      </w:r>
      <w:r w:rsidR="00895E71" w:rsidRPr="00B3332D">
        <w:rPr>
          <w:rStyle w:val="TeksttreciPogrubienie2"/>
          <w:i/>
        </w:rPr>
        <w:t xml:space="preserve"> 60% z art. 170 sufp</w:t>
      </w:r>
      <w:r w:rsidR="00895E71" w:rsidRPr="00B3332D">
        <w:rPr>
          <w:i/>
        </w:rPr>
        <w:t xml:space="preserve"> </w:t>
      </w:r>
      <w:r w:rsidRPr="00B3332D">
        <w:rPr>
          <w:i/>
        </w:rPr>
        <w:t>( bez wyłączeń</w:t>
      </w:r>
      <w:r w:rsidR="008344FB">
        <w:rPr>
          <w:i/>
        </w:rPr>
        <w:br/>
      </w:r>
      <w:r w:rsidRPr="00B3332D">
        <w:rPr>
          <w:i/>
        </w:rPr>
        <w:t xml:space="preserve"> i po uwzględnieniu wyłączeń)</w:t>
      </w:r>
      <w:r w:rsidR="00895E71" w:rsidRPr="00B3332D">
        <w:rPr>
          <w:i/>
        </w:rPr>
        <w:t xml:space="preserve">- zgodnie z art. 170 ustawy o finansach publicznych </w:t>
      </w:r>
      <w:r w:rsidR="008344FB">
        <w:rPr>
          <w:i/>
        </w:rPr>
        <w:br/>
      </w:r>
      <w:r w:rsidR="00895E71" w:rsidRPr="00B3332D">
        <w:rPr>
          <w:i/>
        </w:rPr>
        <w:t xml:space="preserve">z dnia 30 czerwca 2005 roku łączna kwota długu jednostki samorządu terytorialnego na koniec roku budżetowego nie może przekroczyć 60% wykonanych dochodów ogółem tej jednostki w tym roku budżetowym. Z wyliczenia wynika że wskaźnik przekracza ustawowy próg do </w:t>
      </w:r>
      <w:r w:rsidRPr="00B3332D">
        <w:rPr>
          <w:i/>
        </w:rPr>
        <w:t xml:space="preserve"> końca </w:t>
      </w:r>
      <w:r w:rsidR="00895E71" w:rsidRPr="00B3332D">
        <w:rPr>
          <w:i/>
        </w:rPr>
        <w:t>201</w:t>
      </w:r>
      <w:r w:rsidRPr="00B3332D">
        <w:rPr>
          <w:i/>
        </w:rPr>
        <w:t>4</w:t>
      </w:r>
      <w:r w:rsidR="00895E71" w:rsidRPr="00B3332D">
        <w:rPr>
          <w:i/>
        </w:rPr>
        <w:t xml:space="preserve"> roku.</w:t>
      </w:r>
      <w:r w:rsidRPr="00B3332D">
        <w:rPr>
          <w:i/>
        </w:rPr>
        <w:t xml:space="preserve"> </w:t>
      </w:r>
    </w:p>
    <w:p w:rsidR="00B3332D" w:rsidRPr="00B3332D" w:rsidRDefault="00B3332D" w:rsidP="00B3332D">
      <w:pPr>
        <w:pStyle w:val="Teksttreci1"/>
        <w:shd w:val="clear" w:color="auto" w:fill="auto"/>
        <w:tabs>
          <w:tab w:val="left" w:pos="9072"/>
        </w:tabs>
        <w:spacing w:after="0" w:line="240" w:lineRule="auto"/>
        <w:ind w:left="20"/>
        <w:jc w:val="both"/>
        <w:rPr>
          <w:i/>
        </w:rPr>
      </w:pPr>
    </w:p>
    <w:p w:rsidR="005A66C1" w:rsidRDefault="005A66C1" w:rsidP="008344FB">
      <w:pPr>
        <w:pStyle w:val="Teksttreci1"/>
        <w:shd w:val="clear" w:color="auto" w:fill="auto"/>
        <w:spacing w:after="0" w:line="240" w:lineRule="auto"/>
        <w:ind w:left="20"/>
        <w:jc w:val="both"/>
        <w:rPr>
          <w:i/>
        </w:rPr>
      </w:pPr>
      <w:r w:rsidRPr="00B3332D">
        <w:rPr>
          <w:rStyle w:val="TeksttreciPogrubienie2"/>
          <w:i/>
        </w:rPr>
        <w:lastRenderedPageBreak/>
        <w:t>Lp.</w:t>
      </w:r>
      <w:r w:rsidRPr="00B3332D">
        <w:rPr>
          <w:b/>
          <w:i/>
        </w:rPr>
        <w:t xml:space="preserve"> 19.</w:t>
      </w:r>
      <w:r w:rsidRPr="00B3332D">
        <w:rPr>
          <w:rStyle w:val="TeksttreciPogrubienie2"/>
          <w:i/>
        </w:rPr>
        <w:t xml:space="preserve"> Planowana łączna kwota spłaty zobowiązań/dochody ogółem - max</w:t>
      </w:r>
      <w:r w:rsidRPr="00B3332D">
        <w:rPr>
          <w:i/>
        </w:rPr>
        <w:t xml:space="preserve"> 15%</w:t>
      </w:r>
      <w:r w:rsidRPr="00B3332D">
        <w:rPr>
          <w:rStyle w:val="Pogrubienie"/>
          <w:rFonts w:ascii="Arial Unicode MS" w:cs="Arial Unicode MS"/>
          <w:b w:val="0"/>
          <w:bCs w:val="0"/>
          <w:i/>
          <w:iCs/>
          <w:w w:val="60"/>
          <w:sz w:val="26"/>
          <w:szCs w:val="26"/>
        </w:rPr>
        <w:t xml:space="preserve"> z </w:t>
      </w:r>
      <w:r w:rsidRPr="00B3332D">
        <w:rPr>
          <w:rStyle w:val="TeksttreciPogrubienie2"/>
          <w:i/>
        </w:rPr>
        <w:t>art</w:t>
      </w:r>
      <w:r w:rsidRPr="00B3332D">
        <w:rPr>
          <w:i/>
        </w:rPr>
        <w:t xml:space="preserve"> 169</w:t>
      </w:r>
      <w:r w:rsidRPr="00B3332D">
        <w:rPr>
          <w:rStyle w:val="TeksttreciPogrubienie2"/>
          <w:i/>
        </w:rPr>
        <w:t xml:space="preserve"> (starej )ufp</w:t>
      </w:r>
      <w:r w:rsidRPr="00B3332D">
        <w:rPr>
          <w:i/>
        </w:rPr>
        <w:t xml:space="preserve"> - zgodnie z art. 169" starej" ustawy łączna kwota przypadających w danym roku budżetowym spłat rat kredytów wraz z należnymi w danym roku odsetkami od kredytów nie może przekroczyć 15% planowanych na dany rok budżetowy dochodów jednost</w:t>
      </w:r>
      <w:r w:rsidR="00777678" w:rsidRPr="00B3332D">
        <w:rPr>
          <w:i/>
        </w:rPr>
        <w:t>ki samorządu terytorialnego. W</w:t>
      </w:r>
      <w:r w:rsidRPr="00B3332D">
        <w:rPr>
          <w:i/>
        </w:rPr>
        <w:t>skaźniki obowiązują do</w:t>
      </w:r>
      <w:r w:rsidR="00777678" w:rsidRPr="00B3332D">
        <w:rPr>
          <w:i/>
        </w:rPr>
        <w:t xml:space="preserve"> końca </w:t>
      </w:r>
      <w:r w:rsidRPr="00B3332D">
        <w:rPr>
          <w:i/>
        </w:rPr>
        <w:t>2013</w:t>
      </w:r>
      <w:r w:rsidR="00777678" w:rsidRPr="00B3332D">
        <w:rPr>
          <w:i/>
        </w:rPr>
        <w:t xml:space="preserve"> roku.</w:t>
      </w:r>
      <w:r w:rsidRPr="00B3332D">
        <w:rPr>
          <w:i/>
        </w:rPr>
        <w:t xml:space="preserve"> Z wyliczenia wynika że wskaźniki nie</w:t>
      </w:r>
      <w:r w:rsidR="00777678" w:rsidRPr="00B3332D">
        <w:rPr>
          <w:i/>
        </w:rPr>
        <w:t xml:space="preserve"> przekraczają ustawowych progów, </w:t>
      </w:r>
      <w:r w:rsidRPr="00B3332D">
        <w:rPr>
          <w:i/>
        </w:rPr>
        <w:t>tj. 15% .</w:t>
      </w:r>
    </w:p>
    <w:p w:rsidR="00B3332D" w:rsidRPr="00B3332D" w:rsidRDefault="00B3332D" w:rsidP="00B3332D">
      <w:pPr>
        <w:pStyle w:val="Teksttreci1"/>
        <w:shd w:val="clear" w:color="auto" w:fill="auto"/>
        <w:spacing w:after="0" w:line="240" w:lineRule="auto"/>
        <w:ind w:left="20" w:right="280"/>
        <w:jc w:val="both"/>
        <w:rPr>
          <w:i/>
        </w:rPr>
      </w:pPr>
    </w:p>
    <w:p w:rsidR="005A66C1" w:rsidRPr="00B3332D" w:rsidRDefault="005A66C1" w:rsidP="008344FB">
      <w:pPr>
        <w:pStyle w:val="Teksttreci1"/>
        <w:shd w:val="clear" w:color="auto" w:fill="auto"/>
        <w:spacing w:after="0" w:line="240" w:lineRule="auto"/>
        <w:ind w:left="20"/>
        <w:jc w:val="both"/>
        <w:rPr>
          <w:i/>
        </w:rPr>
      </w:pPr>
      <w:r w:rsidRPr="00B3332D">
        <w:rPr>
          <w:rStyle w:val="TeksttreciPogrubienie2"/>
          <w:i/>
        </w:rPr>
        <w:t xml:space="preserve">Lp. 20. </w:t>
      </w:r>
      <w:r w:rsidRPr="00B3332D">
        <w:rPr>
          <w:b/>
          <w:i/>
        </w:rPr>
        <w:t>Relacja, o której mowa w art. 243 ufp,</w:t>
      </w:r>
      <w:r w:rsidRPr="00B3332D">
        <w:rPr>
          <w:i/>
        </w:rPr>
        <w:t xml:space="preserve"> tj. suma spłaty rat kredytów i pożyczek wraz z należnymi w danym roku odsetkami od kredytów i pożyczek i potencjalnych spłat kwot wynikających z udzielonych poręczeń oraz gwarancji do planowanych dochodów ogółem budżetu nie może przekroczyć średniej arytmetycznej z obliczonymi dla ostatnich trzech lat relacji jej dochodów bieżących, powiększonych o dochody ze sprzedaży majątku oraz pomniejszonych o wydatki bieżące do dochodów ogółem budżetu. Relację tę wylicza się wg następującego wzoru:</w:t>
      </w:r>
      <w:r w:rsidRPr="00B3332D">
        <w:rPr>
          <w:i/>
          <w:vertAlign w:val="subscript"/>
        </w:rPr>
        <w:t xml:space="preserve"> </w:t>
      </w:r>
    </w:p>
    <w:p w:rsidR="005A66C1" w:rsidRPr="00B3332D" w:rsidRDefault="00E54DF5" w:rsidP="00B3332D">
      <w:pPr>
        <w:ind w:left="284"/>
        <w:jc w:val="both"/>
        <w:rPr>
          <w:i/>
          <w:sz w:val="26"/>
          <w:szCs w:val="26"/>
          <w:vertAlign w:val="subscript"/>
        </w:rPr>
      </w:pPr>
      <w:r w:rsidRPr="00E54DF5">
        <w:rPr>
          <w:i/>
          <w:noProof/>
          <w:sz w:val="26"/>
          <w:szCs w:val="2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6" type="#_x0000_t86" style="position:absolute;left:0;text-align:left;margin-left:434.45pt;margin-top:11.2pt;width:10.5pt;height:48pt;z-index:251672576"/>
        </w:pict>
      </w:r>
      <w:r w:rsidRPr="00E54DF5">
        <w:rPr>
          <w:i/>
          <w:noProof/>
          <w:sz w:val="26"/>
          <w:szCs w:val="2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left:0;text-align:left;margin-left:12.05pt;margin-top:11.2pt;width:7.15pt;height:48pt;z-index:251675648"/>
        </w:pict>
      </w:r>
      <w:r w:rsidRPr="00E54DF5">
        <w:rPr>
          <w:i/>
          <w:noProof/>
          <w:sz w:val="26"/>
          <w:szCs w:val="26"/>
        </w:rPr>
        <w:pict>
          <v:shape id="_x0000_s1038" type="#_x0000_t85" style="position:absolute;left:0;text-align:left;margin-left:130.95pt;margin-top:11.2pt;width:7.15pt;height:48pt;z-index:251674624"/>
        </w:pict>
      </w:r>
      <w:r w:rsidRPr="00E54DF5">
        <w:rPr>
          <w:i/>
          <w:noProof/>
          <w:sz w:val="26"/>
          <w:szCs w:val="26"/>
        </w:rPr>
        <w:pict>
          <v:shape id="_x0000_s1037" type="#_x0000_t86" style="position:absolute;left:0;text-align:left;margin-left:61.9pt;margin-top:11.2pt;width:10.5pt;height:48pt;z-index:251673600"/>
        </w:pict>
      </w:r>
    </w:p>
    <w:p w:rsidR="005A66C1" w:rsidRPr="00B3332D" w:rsidRDefault="00E54DF5" w:rsidP="00B3332D">
      <w:pPr>
        <w:ind w:left="284"/>
        <w:jc w:val="both"/>
        <w:rPr>
          <w:i/>
          <w:sz w:val="26"/>
          <w:szCs w:val="26"/>
        </w:rPr>
      </w:pPr>
      <w:r>
        <w:rPr>
          <w:i/>
          <w:sz w:val="26"/>
          <w:szCs w:val="26"/>
        </w:rPr>
        <w:pict>
          <v:shapetype id="_x0000_t32" coordsize="21600,21600" o:spt="32" o:oned="t" path="m,l21600,21600e" filled="f">
            <v:path arrowok="t" fillok="f" o:connecttype="none"/>
            <o:lock v:ext="edit" shapetype="t"/>
          </v:shapetype>
          <v:shape id="_x0000_s1040" type="#_x0000_t32" style="position:absolute;left:0;text-align:left;margin-left:92.65pt;margin-top:12.8pt;width:6.75pt;height:.05pt;z-index:251676672" o:connectortype="straight"/>
        </w:pict>
      </w:r>
      <w:r w:rsidR="005A66C1" w:rsidRPr="00B3332D">
        <w:rPr>
          <w:i/>
          <w:sz w:val="26"/>
          <w:szCs w:val="26"/>
        </w:rPr>
        <w:t xml:space="preserve"> </w:t>
      </w:r>
      <w:r w:rsidR="005A66C1" w:rsidRPr="00B3332D">
        <w:rPr>
          <w:i/>
          <w:sz w:val="26"/>
          <w:szCs w:val="26"/>
          <w:u w:val="single"/>
        </w:rPr>
        <w:t xml:space="preserve"> R + O       </w:t>
      </w:r>
      <w:r w:rsidR="005A66C1" w:rsidRPr="00B3332D">
        <w:rPr>
          <w:i/>
          <w:sz w:val="26"/>
          <w:szCs w:val="26"/>
        </w:rPr>
        <w:t xml:space="preserve">    &lt;  </w:t>
      </w:r>
      <w:r w:rsidR="00412F84">
        <w:rPr>
          <w:i/>
          <w:sz w:val="26"/>
          <w:szCs w:val="26"/>
        </w:rPr>
        <w:t xml:space="preserve">  </w:t>
      </w:r>
      <w:r w:rsidR="005A66C1" w:rsidRPr="00B3332D">
        <w:rPr>
          <w:i/>
          <w:sz w:val="26"/>
          <w:szCs w:val="26"/>
        </w:rPr>
        <w:t xml:space="preserve"> </w:t>
      </w:r>
      <w:r w:rsidR="005A66C1" w:rsidRPr="00B3332D">
        <w:rPr>
          <w:i/>
          <w:sz w:val="26"/>
          <w:szCs w:val="26"/>
          <w:u w:val="single"/>
        </w:rPr>
        <w:t>1</w:t>
      </w:r>
      <w:r w:rsidR="005A66C1" w:rsidRPr="00B3332D">
        <w:rPr>
          <w:i/>
          <w:sz w:val="26"/>
          <w:szCs w:val="26"/>
        </w:rPr>
        <w:t xml:space="preserve">  </w:t>
      </w:r>
      <w:r w:rsidR="005A66C1" w:rsidRPr="00B3332D">
        <w:rPr>
          <w:i/>
          <w:sz w:val="26"/>
          <w:szCs w:val="26"/>
          <w:vertAlign w:val="subscript"/>
        </w:rPr>
        <w:t>*</w:t>
      </w:r>
      <w:r w:rsidR="005A66C1" w:rsidRPr="00B3332D">
        <w:rPr>
          <w:i/>
          <w:sz w:val="26"/>
          <w:szCs w:val="26"/>
        </w:rPr>
        <w:t xml:space="preserve">     </w:t>
      </w:r>
      <w:r w:rsidR="005A66C1" w:rsidRPr="00B3332D">
        <w:rPr>
          <w:i/>
          <w:sz w:val="26"/>
          <w:szCs w:val="26"/>
          <w:u w:val="single"/>
        </w:rPr>
        <w:t>Db</w:t>
      </w:r>
      <w:r w:rsidR="005A66C1" w:rsidRPr="00B3332D">
        <w:rPr>
          <w:i/>
          <w:sz w:val="26"/>
          <w:szCs w:val="26"/>
          <w:u w:val="single"/>
          <w:vertAlign w:val="subscript"/>
        </w:rPr>
        <w:t>n-1</w:t>
      </w:r>
      <w:r w:rsidR="005A66C1" w:rsidRPr="00B3332D">
        <w:rPr>
          <w:i/>
          <w:sz w:val="26"/>
          <w:szCs w:val="26"/>
          <w:u w:val="single"/>
        </w:rPr>
        <w:t>+S</w:t>
      </w:r>
      <w:r w:rsidR="005A66C1" w:rsidRPr="00B3332D">
        <w:rPr>
          <w:i/>
          <w:sz w:val="26"/>
          <w:szCs w:val="26"/>
          <w:u w:val="single"/>
          <w:vertAlign w:val="subscript"/>
        </w:rPr>
        <w:t>m-1</w:t>
      </w:r>
      <w:r w:rsidR="005A66C1" w:rsidRPr="00B3332D">
        <w:rPr>
          <w:i/>
          <w:sz w:val="26"/>
          <w:szCs w:val="26"/>
          <w:u w:val="single"/>
        </w:rPr>
        <w:t>-W</w:t>
      </w:r>
      <w:r w:rsidR="005A66C1" w:rsidRPr="00B3332D">
        <w:rPr>
          <w:i/>
          <w:sz w:val="26"/>
          <w:szCs w:val="26"/>
          <w:u w:val="single"/>
          <w:vertAlign w:val="subscript"/>
        </w:rPr>
        <w:t>b-1</w:t>
      </w:r>
      <w:r w:rsidR="005A66C1" w:rsidRPr="00B3332D">
        <w:rPr>
          <w:i/>
          <w:sz w:val="26"/>
          <w:szCs w:val="26"/>
        </w:rPr>
        <w:t xml:space="preserve"> + </w:t>
      </w:r>
      <w:r w:rsidR="005A66C1" w:rsidRPr="00B3332D">
        <w:rPr>
          <w:i/>
          <w:sz w:val="26"/>
          <w:szCs w:val="26"/>
          <w:u w:val="single"/>
        </w:rPr>
        <w:t>Db</w:t>
      </w:r>
      <w:r w:rsidR="005A66C1" w:rsidRPr="00B3332D">
        <w:rPr>
          <w:i/>
          <w:sz w:val="26"/>
          <w:szCs w:val="26"/>
          <w:u w:val="single"/>
          <w:vertAlign w:val="subscript"/>
        </w:rPr>
        <w:t>n-2</w:t>
      </w:r>
      <w:r w:rsidR="005A66C1" w:rsidRPr="00B3332D">
        <w:rPr>
          <w:i/>
          <w:sz w:val="26"/>
          <w:szCs w:val="26"/>
          <w:u w:val="single"/>
        </w:rPr>
        <w:t>+S</w:t>
      </w:r>
      <w:r w:rsidR="005A66C1" w:rsidRPr="00B3332D">
        <w:rPr>
          <w:i/>
          <w:sz w:val="26"/>
          <w:szCs w:val="26"/>
          <w:u w:val="single"/>
          <w:vertAlign w:val="subscript"/>
        </w:rPr>
        <w:t>m-2</w:t>
      </w:r>
      <w:r w:rsidR="005A66C1" w:rsidRPr="00B3332D">
        <w:rPr>
          <w:i/>
          <w:sz w:val="26"/>
          <w:szCs w:val="26"/>
          <w:u w:val="single"/>
        </w:rPr>
        <w:t>-W</w:t>
      </w:r>
      <w:r w:rsidR="005A66C1" w:rsidRPr="00B3332D">
        <w:rPr>
          <w:i/>
          <w:sz w:val="26"/>
          <w:szCs w:val="26"/>
          <w:u w:val="single"/>
          <w:vertAlign w:val="subscript"/>
        </w:rPr>
        <w:t xml:space="preserve">b-2 </w:t>
      </w:r>
      <w:r w:rsidR="005A66C1" w:rsidRPr="00B3332D">
        <w:rPr>
          <w:i/>
          <w:sz w:val="26"/>
          <w:szCs w:val="26"/>
        </w:rPr>
        <w:t>+</w:t>
      </w:r>
      <w:r w:rsidR="005A66C1" w:rsidRPr="00B3332D">
        <w:rPr>
          <w:i/>
          <w:sz w:val="26"/>
          <w:szCs w:val="26"/>
          <w:u w:val="single"/>
        </w:rPr>
        <w:t xml:space="preserve"> Db</w:t>
      </w:r>
      <w:r w:rsidR="005A66C1" w:rsidRPr="00B3332D">
        <w:rPr>
          <w:i/>
          <w:sz w:val="26"/>
          <w:szCs w:val="26"/>
          <w:u w:val="single"/>
          <w:vertAlign w:val="subscript"/>
        </w:rPr>
        <w:t>n-3</w:t>
      </w:r>
      <w:r w:rsidR="005A66C1" w:rsidRPr="00B3332D">
        <w:rPr>
          <w:i/>
          <w:sz w:val="26"/>
          <w:szCs w:val="26"/>
          <w:u w:val="single"/>
        </w:rPr>
        <w:t>+S</w:t>
      </w:r>
      <w:r w:rsidR="005A66C1" w:rsidRPr="00B3332D">
        <w:rPr>
          <w:i/>
          <w:sz w:val="26"/>
          <w:szCs w:val="26"/>
          <w:u w:val="single"/>
          <w:vertAlign w:val="subscript"/>
        </w:rPr>
        <w:t>m-3</w:t>
      </w:r>
      <w:r w:rsidR="005A66C1" w:rsidRPr="00B3332D">
        <w:rPr>
          <w:i/>
          <w:sz w:val="26"/>
          <w:szCs w:val="26"/>
          <w:u w:val="single"/>
        </w:rPr>
        <w:t>-W</w:t>
      </w:r>
      <w:r w:rsidR="005A66C1" w:rsidRPr="00B3332D">
        <w:rPr>
          <w:i/>
          <w:sz w:val="26"/>
          <w:szCs w:val="26"/>
          <w:u w:val="single"/>
          <w:vertAlign w:val="subscript"/>
        </w:rPr>
        <w:t xml:space="preserve">b-3 </w:t>
      </w:r>
    </w:p>
    <w:p w:rsidR="005A66C1" w:rsidRPr="00B3332D" w:rsidRDefault="005A66C1" w:rsidP="00B3332D">
      <w:pPr>
        <w:ind w:left="284"/>
        <w:jc w:val="both"/>
        <w:rPr>
          <w:i/>
          <w:sz w:val="26"/>
          <w:szCs w:val="26"/>
        </w:rPr>
      </w:pPr>
      <w:r w:rsidRPr="00B3332D">
        <w:rPr>
          <w:i/>
          <w:sz w:val="26"/>
          <w:szCs w:val="26"/>
        </w:rPr>
        <w:t xml:space="preserve">     D             </w:t>
      </w:r>
      <w:r w:rsidRPr="00B3332D">
        <w:rPr>
          <w:i/>
          <w:sz w:val="26"/>
          <w:szCs w:val="26"/>
          <w:vertAlign w:val="subscript"/>
        </w:rPr>
        <w:t>n</w:t>
      </w:r>
      <w:r w:rsidRPr="00B3332D">
        <w:rPr>
          <w:i/>
          <w:sz w:val="26"/>
          <w:szCs w:val="26"/>
        </w:rPr>
        <w:t xml:space="preserve">        3                 D</w:t>
      </w:r>
      <w:r w:rsidRPr="00B3332D">
        <w:rPr>
          <w:i/>
          <w:sz w:val="26"/>
          <w:szCs w:val="26"/>
          <w:vertAlign w:val="subscript"/>
        </w:rPr>
        <w:t xml:space="preserve">n-1                                     </w:t>
      </w:r>
      <w:r w:rsidRPr="00B3332D">
        <w:rPr>
          <w:i/>
          <w:sz w:val="26"/>
          <w:szCs w:val="26"/>
        </w:rPr>
        <w:t>D</w:t>
      </w:r>
      <w:r w:rsidRPr="00B3332D">
        <w:rPr>
          <w:i/>
          <w:sz w:val="26"/>
          <w:szCs w:val="26"/>
          <w:vertAlign w:val="subscript"/>
        </w:rPr>
        <w:t xml:space="preserve">n-2 </w:t>
      </w:r>
      <w:r w:rsidRPr="00B3332D">
        <w:rPr>
          <w:i/>
          <w:sz w:val="26"/>
          <w:szCs w:val="26"/>
        </w:rPr>
        <w:t xml:space="preserve">                            D</w:t>
      </w:r>
      <w:r w:rsidRPr="00B3332D">
        <w:rPr>
          <w:i/>
          <w:sz w:val="26"/>
          <w:szCs w:val="26"/>
          <w:vertAlign w:val="subscript"/>
        </w:rPr>
        <w:t>n-3</w:t>
      </w:r>
    </w:p>
    <w:p w:rsidR="005A66C1" w:rsidRPr="00B3332D" w:rsidRDefault="005A66C1" w:rsidP="00B3332D">
      <w:pPr>
        <w:ind w:left="284"/>
        <w:jc w:val="both"/>
        <w:rPr>
          <w:i/>
          <w:sz w:val="26"/>
          <w:szCs w:val="26"/>
        </w:rPr>
      </w:pPr>
    </w:p>
    <w:p w:rsidR="005A66C1" w:rsidRPr="00B3332D" w:rsidRDefault="005A66C1" w:rsidP="00B3332D">
      <w:pPr>
        <w:jc w:val="both"/>
        <w:rPr>
          <w:i/>
          <w:sz w:val="26"/>
          <w:szCs w:val="26"/>
        </w:rPr>
      </w:pPr>
    </w:p>
    <w:p w:rsidR="005A66C1" w:rsidRPr="00B3332D" w:rsidRDefault="005A66C1" w:rsidP="00B3332D">
      <w:pPr>
        <w:jc w:val="both"/>
        <w:rPr>
          <w:i/>
          <w:sz w:val="26"/>
          <w:szCs w:val="26"/>
        </w:rPr>
      </w:pPr>
      <w:r w:rsidRPr="00B3332D">
        <w:rPr>
          <w:i/>
          <w:sz w:val="26"/>
          <w:szCs w:val="26"/>
        </w:rPr>
        <w:t>gdzie poszczególne symbole oznaczają:</w:t>
      </w:r>
    </w:p>
    <w:p w:rsidR="005A66C1" w:rsidRPr="00B3332D" w:rsidRDefault="005A66C1" w:rsidP="00B3332D">
      <w:pPr>
        <w:jc w:val="both"/>
        <w:rPr>
          <w:i/>
          <w:sz w:val="26"/>
          <w:szCs w:val="26"/>
        </w:rPr>
      </w:pPr>
      <w:r w:rsidRPr="00B3332D">
        <w:rPr>
          <w:i/>
          <w:sz w:val="26"/>
          <w:szCs w:val="26"/>
        </w:rPr>
        <w:t>R - planowaną na dany rok budżetowy łączną kwotę z tytułu spłaty rat kredytów,</w:t>
      </w:r>
    </w:p>
    <w:p w:rsidR="005A66C1" w:rsidRPr="00B3332D" w:rsidRDefault="005A66C1" w:rsidP="00B3332D">
      <w:pPr>
        <w:jc w:val="both"/>
        <w:rPr>
          <w:i/>
          <w:sz w:val="26"/>
          <w:szCs w:val="26"/>
        </w:rPr>
      </w:pPr>
      <w:r w:rsidRPr="00B3332D">
        <w:rPr>
          <w:i/>
          <w:sz w:val="26"/>
          <w:szCs w:val="26"/>
        </w:rPr>
        <w:t>O - planowane na rok budżetowy odsetki od kredytów + zobowiązania wynikające</w:t>
      </w:r>
      <w:r w:rsidRPr="00B3332D">
        <w:rPr>
          <w:i/>
          <w:sz w:val="26"/>
          <w:szCs w:val="26"/>
        </w:rPr>
        <w:br/>
        <w:t xml:space="preserve">          z udzielonych poręczeń,</w:t>
      </w:r>
    </w:p>
    <w:p w:rsidR="005A66C1" w:rsidRPr="00B3332D" w:rsidRDefault="005A66C1" w:rsidP="00B3332D">
      <w:pPr>
        <w:jc w:val="both"/>
        <w:rPr>
          <w:i/>
          <w:sz w:val="26"/>
          <w:szCs w:val="26"/>
        </w:rPr>
      </w:pPr>
      <w:r w:rsidRPr="00B3332D">
        <w:rPr>
          <w:i/>
          <w:sz w:val="26"/>
          <w:szCs w:val="26"/>
        </w:rPr>
        <w:t>D - dochody ogółem budżetu w danym roku budżetowym,</w:t>
      </w:r>
    </w:p>
    <w:p w:rsidR="005A66C1" w:rsidRPr="00B3332D" w:rsidRDefault="005A66C1" w:rsidP="00B3332D">
      <w:pPr>
        <w:jc w:val="both"/>
        <w:rPr>
          <w:i/>
          <w:sz w:val="26"/>
          <w:szCs w:val="26"/>
        </w:rPr>
      </w:pPr>
      <w:r w:rsidRPr="00B3332D">
        <w:rPr>
          <w:i/>
          <w:sz w:val="26"/>
          <w:szCs w:val="26"/>
        </w:rPr>
        <w:t>Db - dochody bieżące,</w:t>
      </w:r>
    </w:p>
    <w:p w:rsidR="005A66C1" w:rsidRPr="00B3332D" w:rsidRDefault="005A66C1" w:rsidP="00B3332D">
      <w:pPr>
        <w:jc w:val="both"/>
        <w:rPr>
          <w:i/>
          <w:sz w:val="26"/>
          <w:szCs w:val="26"/>
        </w:rPr>
      </w:pPr>
      <w:r w:rsidRPr="00B3332D">
        <w:rPr>
          <w:i/>
          <w:sz w:val="26"/>
          <w:szCs w:val="26"/>
        </w:rPr>
        <w:t>Sm - dochody ze sprzedaży majątku,</w:t>
      </w:r>
    </w:p>
    <w:p w:rsidR="005A66C1" w:rsidRPr="00B3332D" w:rsidRDefault="005A66C1" w:rsidP="00B3332D">
      <w:pPr>
        <w:jc w:val="both"/>
        <w:rPr>
          <w:i/>
          <w:sz w:val="26"/>
          <w:szCs w:val="26"/>
        </w:rPr>
      </w:pPr>
      <w:r w:rsidRPr="00B3332D">
        <w:rPr>
          <w:i/>
          <w:sz w:val="26"/>
          <w:szCs w:val="26"/>
        </w:rPr>
        <w:t>Wb - wydatki bieżące,</w:t>
      </w:r>
    </w:p>
    <w:p w:rsidR="005A66C1" w:rsidRPr="00B3332D" w:rsidRDefault="005A66C1" w:rsidP="00B3332D">
      <w:pPr>
        <w:jc w:val="both"/>
        <w:rPr>
          <w:i/>
          <w:sz w:val="26"/>
          <w:szCs w:val="26"/>
        </w:rPr>
      </w:pPr>
      <w:r w:rsidRPr="00B3332D">
        <w:rPr>
          <w:i/>
          <w:sz w:val="26"/>
          <w:szCs w:val="26"/>
        </w:rPr>
        <w:t>n - rok budżetowy, na który ustalana jest relacja,</w:t>
      </w:r>
    </w:p>
    <w:p w:rsidR="005A66C1" w:rsidRPr="00B3332D" w:rsidRDefault="005A66C1" w:rsidP="00B3332D">
      <w:pPr>
        <w:jc w:val="both"/>
        <w:rPr>
          <w:i/>
          <w:sz w:val="26"/>
          <w:szCs w:val="26"/>
        </w:rPr>
      </w:pPr>
      <w:r w:rsidRPr="00B3332D">
        <w:rPr>
          <w:i/>
          <w:sz w:val="26"/>
          <w:szCs w:val="26"/>
        </w:rPr>
        <w:t>n-1 - rok poprzedzający rok budżetowy, na który ustalana jest relacja,</w:t>
      </w:r>
    </w:p>
    <w:p w:rsidR="005A66C1" w:rsidRPr="00B3332D" w:rsidRDefault="005A66C1" w:rsidP="00B3332D">
      <w:pPr>
        <w:jc w:val="both"/>
        <w:rPr>
          <w:i/>
          <w:sz w:val="26"/>
          <w:szCs w:val="26"/>
        </w:rPr>
      </w:pPr>
      <w:r w:rsidRPr="00B3332D">
        <w:rPr>
          <w:i/>
          <w:sz w:val="26"/>
          <w:szCs w:val="26"/>
        </w:rPr>
        <w:t>n-2 - rok poprzedzający rok budżetowy o dwa lata,</w:t>
      </w:r>
    </w:p>
    <w:p w:rsidR="005A66C1" w:rsidRPr="00B3332D" w:rsidRDefault="005A66C1" w:rsidP="00B3332D">
      <w:pPr>
        <w:jc w:val="both"/>
        <w:rPr>
          <w:i/>
          <w:sz w:val="26"/>
          <w:szCs w:val="26"/>
        </w:rPr>
      </w:pPr>
      <w:r w:rsidRPr="00B3332D">
        <w:rPr>
          <w:i/>
          <w:sz w:val="26"/>
          <w:szCs w:val="26"/>
        </w:rPr>
        <w:t xml:space="preserve">n-3 - rok poprzedzający rok budżetowy o trzy lata. </w:t>
      </w:r>
    </w:p>
    <w:p w:rsidR="009918C0" w:rsidRPr="00B3332D" w:rsidRDefault="009918C0" w:rsidP="00B3332D">
      <w:pPr>
        <w:jc w:val="both"/>
        <w:rPr>
          <w:i/>
          <w:sz w:val="26"/>
          <w:szCs w:val="26"/>
        </w:rPr>
      </w:pPr>
    </w:p>
    <w:p w:rsidR="009918C0" w:rsidRPr="00B3332D" w:rsidRDefault="009918C0" w:rsidP="00B3332D">
      <w:pPr>
        <w:jc w:val="both"/>
        <w:rPr>
          <w:i/>
          <w:sz w:val="26"/>
          <w:szCs w:val="26"/>
        </w:rPr>
      </w:pPr>
      <w:r w:rsidRPr="00B3332D">
        <w:rPr>
          <w:b/>
          <w:i/>
          <w:sz w:val="26"/>
          <w:szCs w:val="26"/>
        </w:rPr>
        <w:t>Ponadto wiersze 20a i 20b</w:t>
      </w:r>
      <w:r w:rsidRPr="00B3332D">
        <w:rPr>
          <w:i/>
          <w:sz w:val="26"/>
          <w:szCs w:val="26"/>
        </w:rPr>
        <w:t xml:space="preserve"> wg treści: „maksymalny dopuszczalny wskaźnik spłaty </w:t>
      </w:r>
      <w:r w:rsidR="008344FB">
        <w:rPr>
          <w:i/>
          <w:sz w:val="26"/>
          <w:szCs w:val="26"/>
        </w:rPr>
        <w:br/>
      </w:r>
      <w:r w:rsidRPr="00B3332D">
        <w:rPr>
          <w:i/>
          <w:sz w:val="26"/>
          <w:szCs w:val="26"/>
        </w:rPr>
        <w:t>z art. 243 ufp (obliczony z Rb z wykonaniem roku N-1)” - obliczono dla każdego roku fragment prawej części wzoru z art. 243 ustawy – w ujęciu rocznym, czyli: (Db + Sm –Wb)/D. Ułamek ten służy do obliczenia limitu obciążeń spłatami długu danego roku budżetowego.</w:t>
      </w:r>
    </w:p>
    <w:p w:rsidR="009918C0" w:rsidRPr="00B3332D" w:rsidRDefault="009918C0" w:rsidP="00B3332D">
      <w:pPr>
        <w:jc w:val="both"/>
        <w:rPr>
          <w:i/>
          <w:sz w:val="26"/>
          <w:szCs w:val="26"/>
        </w:rPr>
      </w:pPr>
    </w:p>
    <w:p w:rsidR="002E74F4" w:rsidRPr="00B3332D" w:rsidRDefault="00777678" w:rsidP="00B3332D">
      <w:pPr>
        <w:jc w:val="both"/>
        <w:rPr>
          <w:i/>
          <w:sz w:val="26"/>
          <w:szCs w:val="26"/>
        </w:rPr>
      </w:pPr>
      <w:r w:rsidRPr="00B3332D">
        <w:rPr>
          <w:b/>
          <w:i/>
          <w:sz w:val="26"/>
          <w:szCs w:val="26"/>
        </w:rPr>
        <w:t>Lp. 21</w:t>
      </w:r>
      <w:r w:rsidRPr="00B3332D">
        <w:rPr>
          <w:i/>
          <w:sz w:val="26"/>
          <w:szCs w:val="26"/>
        </w:rPr>
        <w:t xml:space="preserve">. </w:t>
      </w:r>
      <w:r w:rsidRPr="00B3332D">
        <w:rPr>
          <w:b/>
          <w:i/>
          <w:sz w:val="26"/>
          <w:szCs w:val="26"/>
        </w:rPr>
        <w:t xml:space="preserve">Relacja planowanej łącznej kwoty spłaty zobowiązań do dochodów, </w:t>
      </w:r>
      <w:r w:rsidR="002E74F4" w:rsidRPr="00B3332D">
        <w:rPr>
          <w:i/>
          <w:sz w:val="26"/>
          <w:szCs w:val="26"/>
        </w:rPr>
        <w:t xml:space="preserve">o której mowa w art. 243 ufp została wykazana poprzez słowa spełnia lub nie spełnia </w:t>
      </w:r>
      <w:r w:rsidR="008344FB">
        <w:rPr>
          <w:i/>
          <w:sz w:val="26"/>
          <w:szCs w:val="26"/>
        </w:rPr>
        <w:br/>
      </w:r>
      <w:r w:rsidR="002E74F4" w:rsidRPr="00B3332D">
        <w:rPr>
          <w:i/>
          <w:sz w:val="26"/>
          <w:szCs w:val="26"/>
        </w:rPr>
        <w:t xml:space="preserve">w wierszu </w:t>
      </w:r>
      <w:r w:rsidR="00C628E7" w:rsidRPr="00B3332D">
        <w:rPr>
          <w:i/>
          <w:sz w:val="26"/>
          <w:szCs w:val="26"/>
        </w:rPr>
        <w:t>21</w:t>
      </w:r>
      <w:r w:rsidR="002E74F4" w:rsidRPr="00B3332D">
        <w:rPr>
          <w:i/>
          <w:sz w:val="26"/>
          <w:szCs w:val="26"/>
        </w:rPr>
        <w:t xml:space="preserve"> a (bez wyłączeń, o których mowa w art.169 i 170 sufp)</w:t>
      </w:r>
      <w:r w:rsidR="00C628E7" w:rsidRPr="00B3332D">
        <w:rPr>
          <w:i/>
          <w:sz w:val="26"/>
          <w:szCs w:val="26"/>
        </w:rPr>
        <w:t xml:space="preserve"> oraz w wierszu 22</w:t>
      </w:r>
      <w:r w:rsidR="002E74F4" w:rsidRPr="00B3332D">
        <w:rPr>
          <w:i/>
          <w:sz w:val="26"/>
          <w:szCs w:val="26"/>
        </w:rPr>
        <w:t xml:space="preserve"> a (</w:t>
      </w:r>
      <w:r w:rsidRPr="00B3332D">
        <w:rPr>
          <w:i/>
          <w:sz w:val="26"/>
          <w:szCs w:val="26"/>
        </w:rPr>
        <w:t xml:space="preserve">po uwzględnieniu </w:t>
      </w:r>
      <w:r w:rsidR="002E74F4" w:rsidRPr="00B3332D">
        <w:rPr>
          <w:i/>
          <w:sz w:val="26"/>
          <w:szCs w:val="26"/>
        </w:rPr>
        <w:t>wyłączeniami, o których mowa w art.169 i 170 sufp).</w:t>
      </w:r>
    </w:p>
    <w:p w:rsidR="00B917E7" w:rsidRPr="00B3332D" w:rsidRDefault="00B917E7" w:rsidP="00B3332D">
      <w:pPr>
        <w:jc w:val="both"/>
        <w:rPr>
          <w:b/>
          <w:i/>
          <w:sz w:val="26"/>
          <w:szCs w:val="26"/>
        </w:rPr>
      </w:pPr>
      <w:r w:rsidRPr="00B3332D">
        <w:rPr>
          <w:b/>
          <w:i/>
          <w:sz w:val="26"/>
          <w:szCs w:val="26"/>
        </w:rPr>
        <w:t xml:space="preserve">Wiersz 21 i 22 </w:t>
      </w:r>
      <w:r w:rsidRPr="00B3332D">
        <w:rPr>
          <w:i/>
          <w:sz w:val="26"/>
          <w:szCs w:val="26"/>
        </w:rPr>
        <w:t xml:space="preserve">oznacza wyrażoną w procentach kwotę, jaką Powiat Tucholski spłaca </w:t>
      </w:r>
      <w:r w:rsidR="008344FB">
        <w:rPr>
          <w:i/>
          <w:sz w:val="26"/>
          <w:szCs w:val="26"/>
        </w:rPr>
        <w:br/>
      </w:r>
      <w:r w:rsidRPr="00B3332D">
        <w:rPr>
          <w:i/>
          <w:sz w:val="26"/>
          <w:szCs w:val="26"/>
        </w:rPr>
        <w:t xml:space="preserve">w poszczególnych latach, tj. sumę spłaty rat kredytów i pożyczek wraz z należnymi </w:t>
      </w:r>
      <w:r w:rsidR="008344FB">
        <w:rPr>
          <w:i/>
          <w:sz w:val="26"/>
          <w:szCs w:val="26"/>
        </w:rPr>
        <w:br/>
      </w:r>
      <w:r w:rsidRPr="00B3332D">
        <w:rPr>
          <w:i/>
          <w:sz w:val="26"/>
          <w:szCs w:val="26"/>
        </w:rPr>
        <w:t xml:space="preserve">w danym roku odsetkami od kredytów i pożyczek oraz potencjalnych spłat kwot </w:t>
      </w:r>
      <w:r w:rsidR="008344FB">
        <w:rPr>
          <w:i/>
          <w:sz w:val="26"/>
          <w:szCs w:val="26"/>
        </w:rPr>
        <w:lastRenderedPageBreak/>
        <w:t xml:space="preserve">wynikających </w:t>
      </w:r>
      <w:r w:rsidRPr="00B3332D">
        <w:rPr>
          <w:i/>
          <w:sz w:val="26"/>
          <w:szCs w:val="26"/>
        </w:rPr>
        <w:t xml:space="preserve"> z udzielonych poręczeń oraz gwarancji (wiersz 21 bez wyłączeń z art. 169 i 170 sufp i wiersz 22 z wyłączeniami o których mowa wyżej).</w:t>
      </w:r>
    </w:p>
    <w:p w:rsidR="00B917E7" w:rsidRPr="00B3332D" w:rsidRDefault="00B917E7" w:rsidP="00B3332D">
      <w:pPr>
        <w:jc w:val="both"/>
        <w:rPr>
          <w:i/>
          <w:sz w:val="26"/>
          <w:szCs w:val="26"/>
        </w:rPr>
      </w:pPr>
      <w:r w:rsidRPr="00B3332D">
        <w:rPr>
          <w:b/>
          <w:i/>
          <w:sz w:val="26"/>
          <w:szCs w:val="26"/>
        </w:rPr>
        <w:t xml:space="preserve">Wskaźnik z wiersza 22 musi być niższy lub równy </w:t>
      </w:r>
      <w:r w:rsidRPr="00B3332D">
        <w:rPr>
          <w:i/>
          <w:sz w:val="26"/>
          <w:szCs w:val="26"/>
        </w:rPr>
        <w:t xml:space="preserve">od wskaźnika wyliczonego </w:t>
      </w:r>
      <w:r w:rsidR="008344FB">
        <w:rPr>
          <w:i/>
          <w:sz w:val="26"/>
          <w:szCs w:val="26"/>
        </w:rPr>
        <w:br/>
      </w:r>
      <w:r w:rsidRPr="00B3332D">
        <w:rPr>
          <w:b/>
          <w:i/>
          <w:sz w:val="26"/>
          <w:szCs w:val="26"/>
        </w:rPr>
        <w:t>w</w:t>
      </w:r>
      <w:r w:rsidRPr="00B3332D">
        <w:rPr>
          <w:i/>
          <w:sz w:val="26"/>
          <w:szCs w:val="26"/>
        </w:rPr>
        <w:t xml:space="preserve"> </w:t>
      </w:r>
      <w:r w:rsidRPr="00B3332D">
        <w:rPr>
          <w:b/>
          <w:i/>
          <w:sz w:val="26"/>
          <w:szCs w:val="26"/>
        </w:rPr>
        <w:t>wierszu 19</w:t>
      </w:r>
      <w:r w:rsidRPr="00B3332D">
        <w:rPr>
          <w:i/>
          <w:sz w:val="26"/>
          <w:szCs w:val="26"/>
        </w:rPr>
        <w:t>.</w:t>
      </w:r>
      <w:r w:rsidRPr="00B3332D">
        <w:rPr>
          <w:b/>
          <w:i/>
          <w:sz w:val="26"/>
          <w:szCs w:val="26"/>
        </w:rPr>
        <w:t xml:space="preserve"> </w:t>
      </w:r>
    </w:p>
    <w:p w:rsidR="00B917E7" w:rsidRPr="00B3332D" w:rsidRDefault="00B917E7" w:rsidP="00B3332D">
      <w:pPr>
        <w:jc w:val="both"/>
        <w:rPr>
          <w:i/>
          <w:sz w:val="26"/>
          <w:szCs w:val="26"/>
        </w:rPr>
      </w:pPr>
      <w:r w:rsidRPr="00B3332D">
        <w:rPr>
          <w:b/>
          <w:i/>
          <w:sz w:val="26"/>
          <w:szCs w:val="26"/>
        </w:rPr>
        <w:t>Wiersz 21 i 22</w:t>
      </w:r>
      <w:r w:rsidRPr="00B3332D">
        <w:rPr>
          <w:i/>
          <w:sz w:val="26"/>
          <w:szCs w:val="26"/>
        </w:rPr>
        <w:t xml:space="preserve"> jest to automatyczne obliczenie dla danego roku wskaźnika obciążeń budżetu spłatami - spłata rat kredytów i pożyczek oraz wykup papierów wartościowych (tylko długoterminowych) + odsetki (w tym od długu krótkoterminowego) + potencjalna spłata kwot wynikających z udzielonych poręczeń i gwarancji)/dochody ogółem, </w:t>
      </w:r>
      <w:r w:rsidR="008344FB">
        <w:rPr>
          <w:i/>
          <w:sz w:val="26"/>
          <w:szCs w:val="26"/>
        </w:rPr>
        <w:t xml:space="preserve">czyli część wzoru </w:t>
      </w:r>
      <w:r w:rsidRPr="00B3332D">
        <w:rPr>
          <w:i/>
          <w:sz w:val="26"/>
          <w:szCs w:val="26"/>
        </w:rPr>
        <w:t xml:space="preserve"> z art. 243 ufp w treści: </w:t>
      </w:r>
    </w:p>
    <w:p w:rsidR="00B917E7" w:rsidRPr="00B3332D" w:rsidRDefault="00B917E7" w:rsidP="00B3332D">
      <w:pPr>
        <w:ind w:left="708"/>
        <w:jc w:val="both"/>
        <w:rPr>
          <w:i/>
          <w:sz w:val="26"/>
          <w:szCs w:val="26"/>
        </w:rPr>
      </w:pPr>
    </w:p>
    <w:p w:rsidR="00B917E7" w:rsidRPr="00B3332D" w:rsidRDefault="00B917E7" w:rsidP="00B3332D">
      <w:pPr>
        <w:pStyle w:val="Nagwek2"/>
        <w:ind w:left="0"/>
        <w:jc w:val="both"/>
        <w:rPr>
          <w:i/>
          <w:sz w:val="26"/>
          <w:szCs w:val="26"/>
        </w:rPr>
      </w:pPr>
      <w:r w:rsidRPr="00B3332D">
        <w:rPr>
          <w:i/>
          <w:sz w:val="26"/>
          <w:szCs w:val="26"/>
        </w:rPr>
        <w:t>R + O</w:t>
      </w:r>
    </w:p>
    <w:p w:rsidR="00B917E7" w:rsidRPr="00B3332D" w:rsidRDefault="00B917E7" w:rsidP="00B3332D">
      <w:pPr>
        <w:jc w:val="both"/>
        <w:rPr>
          <w:i/>
          <w:sz w:val="26"/>
          <w:szCs w:val="26"/>
        </w:rPr>
      </w:pPr>
      <w:r w:rsidRPr="00B3332D">
        <w:rPr>
          <w:i/>
          <w:sz w:val="26"/>
          <w:szCs w:val="26"/>
        </w:rPr>
        <w:t xml:space="preserve">   D</w:t>
      </w:r>
    </w:p>
    <w:p w:rsidR="00B917E7" w:rsidRPr="00B3332D" w:rsidRDefault="00B917E7" w:rsidP="00B3332D">
      <w:pPr>
        <w:jc w:val="both"/>
        <w:rPr>
          <w:i/>
          <w:sz w:val="26"/>
          <w:szCs w:val="26"/>
        </w:rPr>
      </w:pPr>
    </w:p>
    <w:p w:rsidR="00B917E7" w:rsidRPr="00B3332D" w:rsidRDefault="00B917E7" w:rsidP="00B3332D">
      <w:pPr>
        <w:pStyle w:val="Tekstpodstawowy"/>
        <w:spacing w:after="0"/>
        <w:jc w:val="both"/>
        <w:rPr>
          <w:i/>
          <w:sz w:val="26"/>
          <w:szCs w:val="26"/>
        </w:rPr>
      </w:pPr>
      <w:r w:rsidRPr="00B3332D">
        <w:rPr>
          <w:i/>
          <w:sz w:val="26"/>
          <w:szCs w:val="26"/>
        </w:rPr>
        <w:t>z tym, że zarówno „R” jak i „O” nie uwzględniają spłat długu zaciąganego w związku                    z pozyskaniem środków unijnych.</w:t>
      </w:r>
    </w:p>
    <w:p w:rsidR="00B917E7" w:rsidRPr="00B3332D" w:rsidRDefault="00B917E7" w:rsidP="00B3332D">
      <w:pPr>
        <w:jc w:val="both"/>
        <w:rPr>
          <w:b/>
          <w:i/>
          <w:sz w:val="26"/>
          <w:szCs w:val="26"/>
        </w:rPr>
      </w:pPr>
    </w:p>
    <w:p w:rsidR="00B917E7" w:rsidRPr="00B3332D" w:rsidRDefault="002240E2" w:rsidP="00B3332D">
      <w:pPr>
        <w:jc w:val="both"/>
        <w:rPr>
          <w:b/>
          <w:i/>
          <w:sz w:val="26"/>
          <w:szCs w:val="26"/>
        </w:rPr>
      </w:pPr>
      <w:r w:rsidRPr="00B3332D">
        <w:rPr>
          <w:b/>
          <w:i/>
          <w:sz w:val="26"/>
          <w:szCs w:val="26"/>
        </w:rPr>
        <w:t>W wierszu 19</w:t>
      </w:r>
      <w:r w:rsidR="00B917E7" w:rsidRPr="00B3332D">
        <w:rPr>
          <w:b/>
          <w:i/>
          <w:sz w:val="26"/>
          <w:szCs w:val="26"/>
        </w:rPr>
        <w:t xml:space="preserve"> wyliczono indywidualny wskaźnik zadłużenia dla Powiatu </w:t>
      </w:r>
      <w:r w:rsidRPr="00B3332D">
        <w:rPr>
          <w:b/>
          <w:i/>
          <w:sz w:val="26"/>
          <w:szCs w:val="26"/>
        </w:rPr>
        <w:t>Tucholskiego</w:t>
      </w:r>
      <w:r w:rsidR="00B917E7" w:rsidRPr="00B3332D">
        <w:rPr>
          <w:b/>
          <w:i/>
          <w:sz w:val="26"/>
          <w:szCs w:val="26"/>
        </w:rPr>
        <w:t xml:space="preserve"> jako średnią arytmetyczną z trzech poprzednich lat. </w:t>
      </w:r>
      <w:r w:rsidRPr="00B3332D">
        <w:rPr>
          <w:b/>
          <w:i/>
          <w:sz w:val="26"/>
          <w:szCs w:val="26"/>
        </w:rPr>
        <w:t xml:space="preserve"> </w:t>
      </w:r>
      <w:r w:rsidR="00B917E7" w:rsidRPr="00B3332D">
        <w:rPr>
          <w:b/>
          <w:i/>
          <w:sz w:val="26"/>
          <w:szCs w:val="26"/>
        </w:rPr>
        <w:t>Wskaźnik ten musi być równy lub wyższy od wskaźnika z wiersza 22. Wskaźnik ten oznacza, że tylko tyle można w danym roku spłacić (kredytu, odsetek, poręczeń itp.). Zgodnie</w:t>
      </w:r>
      <w:r w:rsidR="008344FB">
        <w:rPr>
          <w:b/>
          <w:i/>
          <w:sz w:val="26"/>
          <w:szCs w:val="26"/>
        </w:rPr>
        <w:br/>
      </w:r>
      <w:r w:rsidR="00B917E7" w:rsidRPr="00B3332D">
        <w:rPr>
          <w:b/>
          <w:i/>
          <w:sz w:val="26"/>
          <w:szCs w:val="26"/>
        </w:rPr>
        <w:t xml:space="preserve"> z art. 243 ufp spłata nie może przekroczyć wskaźnika z wiersza </w:t>
      </w:r>
      <w:r w:rsidRPr="00B3332D">
        <w:rPr>
          <w:b/>
          <w:i/>
          <w:sz w:val="26"/>
          <w:szCs w:val="26"/>
        </w:rPr>
        <w:t>19</w:t>
      </w:r>
      <w:r w:rsidR="00B917E7" w:rsidRPr="00B3332D">
        <w:rPr>
          <w:b/>
          <w:i/>
          <w:sz w:val="26"/>
          <w:szCs w:val="26"/>
        </w:rPr>
        <w:t>.</w:t>
      </w:r>
    </w:p>
    <w:p w:rsidR="00B917E7" w:rsidRPr="00B3332D" w:rsidRDefault="00B917E7" w:rsidP="00B3332D">
      <w:pPr>
        <w:jc w:val="both"/>
        <w:rPr>
          <w:i/>
          <w:sz w:val="26"/>
          <w:szCs w:val="26"/>
        </w:rPr>
      </w:pPr>
    </w:p>
    <w:p w:rsidR="00B917E7" w:rsidRPr="00B3332D" w:rsidRDefault="00B917E7" w:rsidP="00B3332D">
      <w:pPr>
        <w:jc w:val="both"/>
        <w:rPr>
          <w:i/>
          <w:sz w:val="26"/>
          <w:szCs w:val="26"/>
        </w:rPr>
      </w:pPr>
      <w:r w:rsidRPr="00B3332D">
        <w:rPr>
          <w:b/>
          <w:i/>
          <w:sz w:val="26"/>
          <w:szCs w:val="26"/>
        </w:rPr>
        <w:t xml:space="preserve">Relacja wyliczona w wierszu </w:t>
      </w:r>
      <w:r w:rsidR="002240E2" w:rsidRPr="00B3332D">
        <w:rPr>
          <w:b/>
          <w:i/>
          <w:sz w:val="26"/>
          <w:szCs w:val="26"/>
        </w:rPr>
        <w:t>22a</w:t>
      </w:r>
      <w:r w:rsidRPr="00B3332D">
        <w:rPr>
          <w:b/>
          <w:i/>
          <w:sz w:val="26"/>
          <w:szCs w:val="26"/>
        </w:rPr>
        <w:t xml:space="preserve"> informuje czy zostały spełnione ustawowe warunki spłaty kredytów wraz z odsetkami w danym roku. </w:t>
      </w:r>
    </w:p>
    <w:p w:rsidR="00B917E7" w:rsidRPr="00B3332D" w:rsidRDefault="00B917E7" w:rsidP="00B3332D">
      <w:pPr>
        <w:pStyle w:val="Tekstpodstawowywcity2"/>
        <w:ind w:left="0"/>
        <w:rPr>
          <w:i/>
          <w:sz w:val="26"/>
          <w:szCs w:val="26"/>
        </w:rPr>
      </w:pPr>
      <w:r w:rsidRPr="00B3332D">
        <w:rPr>
          <w:i/>
          <w:sz w:val="26"/>
          <w:szCs w:val="26"/>
        </w:rPr>
        <w:t>Zgodnie z art. 121 ust. 8 ustawy z dnia 27 sierpnia 2009 r. - Przepisy wprowadzające  ustawę o</w:t>
      </w:r>
      <w:r w:rsidR="00CA7C3B">
        <w:rPr>
          <w:i/>
          <w:sz w:val="26"/>
          <w:szCs w:val="26"/>
        </w:rPr>
        <w:t xml:space="preserve"> </w:t>
      </w:r>
      <w:r w:rsidRPr="00B3332D">
        <w:rPr>
          <w:i/>
          <w:sz w:val="26"/>
          <w:szCs w:val="26"/>
        </w:rPr>
        <w:t>finansach publicznych</w:t>
      </w:r>
      <w:r w:rsidR="00CA7C3B">
        <w:rPr>
          <w:i/>
          <w:sz w:val="26"/>
          <w:szCs w:val="26"/>
        </w:rPr>
        <w:t xml:space="preserve"> </w:t>
      </w:r>
      <w:r w:rsidRPr="00B3332D">
        <w:rPr>
          <w:i/>
          <w:sz w:val="26"/>
          <w:szCs w:val="26"/>
        </w:rPr>
        <w:t>(Dz. U. Nr 157, poz. 1241) na lata 2011 - 2013 objęte wieloletnią prognozą finansową zamiast zasad, o których mowa w przepisach art. 226 ust. 1 pkt 6 i art. 230 ust. 5 ustawy, o której mowa w art. 1, mają zastosowanie zasady określone w art. 169 - 171 ustawy, o której mowa w art. 85, tj.:</w:t>
      </w:r>
    </w:p>
    <w:p w:rsidR="00B917E7" w:rsidRPr="00B3332D" w:rsidRDefault="00B917E7" w:rsidP="00B3332D">
      <w:pPr>
        <w:pStyle w:val="Tekstpodstawowywcity2"/>
        <w:numPr>
          <w:ilvl w:val="0"/>
          <w:numId w:val="19"/>
        </w:numPr>
        <w:ind w:left="284" w:hanging="284"/>
        <w:rPr>
          <w:rFonts w:eastAsia="Calibri"/>
          <w:i/>
          <w:sz w:val="26"/>
          <w:szCs w:val="26"/>
        </w:rPr>
      </w:pPr>
      <w:r w:rsidRPr="00B3332D">
        <w:rPr>
          <w:rFonts w:eastAsia="Calibri"/>
          <w:i/>
          <w:sz w:val="26"/>
          <w:szCs w:val="26"/>
        </w:rPr>
        <w:t xml:space="preserve">łączna kwota przypadających w danym roku budżetowym spłat rat kredytów wraz </w:t>
      </w:r>
      <w:r w:rsidRPr="00B3332D">
        <w:rPr>
          <w:rFonts w:eastAsia="Calibri"/>
          <w:i/>
          <w:sz w:val="26"/>
          <w:szCs w:val="26"/>
        </w:rPr>
        <w:br/>
        <w:t>z należnymi w danym roku odsetkami od kredytów nie może przekroczyć 15 % planowanych na dany rok budżetowy dochodów jednostki samorządu terytorialnego.</w:t>
      </w:r>
    </w:p>
    <w:p w:rsidR="00B917E7" w:rsidRPr="00B3332D" w:rsidRDefault="00B917E7" w:rsidP="00B3332D">
      <w:pPr>
        <w:pStyle w:val="Tekstpodstawowywcity2"/>
        <w:numPr>
          <w:ilvl w:val="0"/>
          <w:numId w:val="19"/>
        </w:numPr>
        <w:ind w:left="284" w:hanging="284"/>
        <w:rPr>
          <w:rFonts w:eastAsia="Calibri"/>
          <w:i/>
          <w:sz w:val="26"/>
          <w:szCs w:val="26"/>
        </w:rPr>
      </w:pPr>
      <w:r w:rsidRPr="00B3332D">
        <w:rPr>
          <w:rFonts w:eastAsia="Calibri"/>
          <w:i/>
          <w:sz w:val="26"/>
          <w:szCs w:val="26"/>
        </w:rPr>
        <w:t xml:space="preserve">łączna kwota długu jednostki samorządu terytorialnego na koniec roku budżetowego </w:t>
      </w:r>
      <w:r w:rsidRPr="00B3332D">
        <w:rPr>
          <w:rFonts w:eastAsia="Calibri"/>
          <w:i/>
          <w:sz w:val="26"/>
          <w:szCs w:val="26"/>
        </w:rPr>
        <w:br/>
        <w:t>nie może przekroczyć 60 % wykonanych dochodów ogółem tej jednostki w tym roku budżetowym.</w:t>
      </w:r>
    </w:p>
    <w:p w:rsidR="005A66C1" w:rsidRPr="00B3332D" w:rsidRDefault="00B917E7" w:rsidP="00B3332D">
      <w:pPr>
        <w:autoSpaceDE w:val="0"/>
        <w:autoSpaceDN w:val="0"/>
        <w:adjustRightInd w:val="0"/>
        <w:jc w:val="both"/>
        <w:rPr>
          <w:b/>
          <w:i/>
          <w:sz w:val="26"/>
          <w:szCs w:val="26"/>
        </w:rPr>
      </w:pPr>
      <w:r w:rsidRPr="00B3332D">
        <w:rPr>
          <w:b/>
          <w:i/>
          <w:sz w:val="26"/>
          <w:szCs w:val="26"/>
        </w:rPr>
        <w:t xml:space="preserve">Powyższe wyliczone zostało w wierszach </w:t>
      </w:r>
      <w:r w:rsidR="002240E2" w:rsidRPr="00B3332D">
        <w:rPr>
          <w:b/>
          <w:i/>
          <w:sz w:val="26"/>
          <w:szCs w:val="26"/>
        </w:rPr>
        <w:t>18 i 19</w:t>
      </w:r>
      <w:r w:rsidRPr="00B3332D">
        <w:rPr>
          <w:i/>
          <w:sz w:val="26"/>
          <w:szCs w:val="26"/>
        </w:rPr>
        <w:t xml:space="preserve"> załącznika nr 1 do uchwały</w:t>
      </w:r>
      <w:r w:rsidR="008344FB">
        <w:rPr>
          <w:i/>
          <w:sz w:val="26"/>
          <w:szCs w:val="26"/>
        </w:rPr>
        <w:br/>
      </w:r>
      <w:r w:rsidRPr="00B3332D">
        <w:rPr>
          <w:i/>
          <w:sz w:val="26"/>
          <w:szCs w:val="26"/>
        </w:rPr>
        <w:t xml:space="preserve">w sprawie prognozy dla Powiatu </w:t>
      </w:r>
      <w:r w:rsidR="002240E2" w:rsidRPr="00B3332D">
        <w:rPr>
          <w:i/>
          <w:sz w:val="26"/>
          <w:szCs w:val="26"/>
        </w:rPr>
        <w:t>Tucholskiego</w:t>
      </w:r>
      <w:r w:rsidRPr="00B3332D">
        <w:rPr>
          <w:i/>
          <w:sz w:val="26"/>
          <w:szCs w:val="26"/>
        </w:rPr>
        <w:t xml:space="preserve"> na lata 2013 -</w:t>
      </w:r>
      <w:r w:rsidR="002240E2" w:rsidRPr="00B3332D">
        <w:rPr>
          <w:i/>
          <w:sz w:val="26"/>
          <w:szCs w:val="26"/>
        </w:rPr>
        <w:t xml:space="preserve"> 2024</w:t>
      </w:r>
      <w:r w:rsidRPr="00B3332D">
        <w:rPr>
          <w:i/>
          <w:sz w:val="26"/>
          <w:szCs w:val="26"/>
        </w:rPr>
        <w:t xml:space="preserve">. </w:t>
      </w:r>
      <w:r w:rsidRPr="00B3332D">
        <w:rPr>
          <w:b/>
          <w:i/>
          <w:sz w:val="26"/>
          <w:szCs w:val="26"/>
        </w:rPr>
        <w:t>Od 2014 roku wskaźniki te nie obowiązują.</w:t>
      </w:r>
    </w:p>
    <w:p w:rsidR="009918C0" w:rsidRPr="00B3332D" w:rsidRDefault="009918C0" w:rsidP="00B3332D">
      <w:pPr>
        <w:autoSpaceDE w:val="0"/>
        <w:autoSpaceDN w:val="0"/>
        <w:adjustRightInd w:val="0"/>
        <w:jc w:val="both"/>
        <w:rPr>
          <w:b/>
          <w:i/>
          <w:sz w:val="26"/>
          <w:szCs w:val="26"/>
        </w:rPr>
      </w:pPr>
    </w:p>
    <w:p w:rsidR="009918C0" w:rsidRPr="00B3332D" w:rsidRDefault="009918C0" w:rsidP="00B3332D">
      <w:pPr>
        <w:jc w:val="both"/>
        <w:rPr>
          <w:i/>
          <w:sz w:val="26"/>
          <w:szCs w:val="26"/>
        </w:rPr>
      </w:pPr>
      <w:r w:rsidRPr="00B3332D">
        <w:rPr>
          <w:b/>
          <w:i/>
          <w:sz w:val="26"/>
          <w:szCs w:val="26"/>
        </w:rPr>
        <w:t>Lp. 22. Relacja planowanej łącznej kwoty spłaty zobowiązań do dochodów</w:t>
      </w:r>
      <w:r w:rsidR="00B3332D" w:rsidRPr="00B3332D">
        <w:rPr>
          <w:b/>
          <w:i/>
          <w:sz w:val="26"/>
          <w:szCs w:val="26"/>
        </w:rPr>
        <w:t xml:space="preserve"> ( po uwzględnieniu wyłączeń z UE )</w:t>
      </w:r>
      <w:r w:rsidRPr="00B3332D">
        <w:rPr>
          <w:b/>
          <w:i/>
          <w:sz w:val="26"/>
          <w:szCs w:val="26"/>
        </w:rPr>
        <w:t xml:space="preserve">, </w:t>
      </w:r>
      <w:r w:rsidRPr="00B3332D">
        <w:rPr>
          <w:i/>
          <w:sz w:val="26"/>
          <w:szCs w:val="26"/>
        </w:rPr>
        <w:t>o której mowa w art. 243 ufp została wykazana poprzez słowa spełnia lub nie spełnia w wierszu 21</w:t>
      </w:r>
      <w:r w:rsidR="00B3332D" w:rsidRPr="00B3332D">
        <w:rPr>
          <w:i/>
          <w:sz w:val="26"/>
          <w:szCs w:val="26"/>
        </w:rPr>
        <w:t xml:space="preserve"> b</w:t>
      </w:r>
      <w:r w:rsidRPr="00B3332D">
        <w:rPr>
          <w:i/>
          <w:sz w:val="26"/>
          <w:szCs w:val="26"/>
        </w:rPr>
        <w:t xml:space="preserve"> (bez wyłączeń, o których mowa </w:t>
      </w:r>
      <w:r w:rsidR="008344FB">
        <w:rPr>
          <w:i/>
          <w:sz w:val="26"/>
          <w:szCs w:val="26"/>
        </w:rPr>
        <w:br/>
      </w:r>
      <w:r w:rsidRPr="00B3332D">
        <w:rPr>
          <w:i/>
          <w:sz w:val="26"/>
          <w:szCs w:val="26"/>
        </w:rPr>
        <w:t>w art.169 i 170 sufp) oraz w wierszu 22 a (po uwzględnieniu wyłączeniami, o których mowa w art.169 i 170 sufp).</w:t>
      </w:r>
    </w:p>
    <w:p w:rsidR="002240E2" w:rsidRPr="00B3332D" w:rsidRDefault="002240E2" w:rsidP="00B3332D">
      <w:pPr>
        <w:autoSpaceDE w:val="0"/>
        <w:autoSpaceDN w:val="0"/>
        <w:adjustRightInd w:val="0"/>
        <w:jc w:val="both"/>
        <w:rPr>
          <w:b/>
          <w:i/>
          <w:sz w:val="26"/>
          <w:szCs w:val="26"/>
        </w:rPr>
      </w:pPr>
    </w:p>
    <w:p w:rsidR="00652D83" w:rsidRDefault="00652D83" w:rsidP="00B3332D">
      <w:pPr>
        <w:pStyle w:val="Teksttreci1"/>
        <w:shd w:val="clear" w:color="auto" w:fill="auto"/>
        <w:spacing w:after="0" w:line="240" w:lineRule="auto"/>
        <w:ind w:left="20"/>
        <w:jc w:val="both"/>
        <w:rPr>
          <w:i/>
        </w:rPr>
      </w:pPr>
      <w:r w:rsidRPr="00B3332D">
        <w:rPr>
          <w:b/>
          <w:i/>
        </w:rPr>
        <w:t>Lp. 23. Dochody bieżące</w:t>
      </w:r>
      <w:r w:rsidRPr="00B3332D">
        <w:rPr>
          <w:i/>
        </w:rPr>
        <w:t>. W Wierszu tym wykazan</w:t>
      </w:r>
      <w:r w:rsidR="002240E2" w:rsidRPr="00B3332D">
        <w:rPr>
          <w:i/>
        </w:rPr>
        <w:t xml:space="preserve">e są dochody bieżące razem, tj. </w:t>
      </w:r>
      <w:r w:rsidRPr="00B3332D">
        <w:rPr>
          <w:i/>
        </w:rPr>
        <w:t>wykazane w wierszu 1a.</w:t>
      </w:r>
    </w:p>
    <w:p w:rsidR="00B3332D" w:rsidRPr="00B3332D" w:rsidRDefault="00B3332D" w:rsidP="00B3332D">
      <w:pPr>
        <w:pStyle w:val="Teksttreci1"/>
        <w:shd w:val="clear" w:color="auto" w:fill="auto"/>
        <w:spacing w:after="0" w:line="240" w:lineRule="auto"/>
        <w:ind w:left="20"/>
        <w:jc w:val="both"/>
        <w:rPr>
          <w:i/>
        </w:rPr>
      </w:pPr>
    </w:p>
    <w:p w:rsidR="00652D83" w:rsidRPr="00B3332D" w:rsidRDefault="00652D83" w:rsidP="00B3332D">
      <w:pPr>
        <w:pStyle w:val="Teksttreci1"/>
        <w:shd w:val="clear" w:color="auto" w:fill="auto"/>
        <w:tabs>
          <w:tab w:val="left" w:pos="9072"/>
        </w:tabs>
        <w:spacing w:after="0" w:line="240" w:lineRule="auto"/>
        <w:ind w:left="20"/>
        <w:jc w:val="both"/>
        <w:rPr>
          <w:i/>
        </w:rPr>
      </w:pPr>
      <w:r w:rsidRPr="00B3332D">
        <w:rPr>
          <w:rStyle w:val="TeksttreciPogrubienie2"/>
          <w:i/>
        </w:rPr>
        <w:t>Lp. 24. Wydatki bieżące</w:t>
      </w:r>
      <w:r w:rsidRPr="00B3332D">
        <w:rPr>
          <w:b/>
          <w:i/>
        </w:rPr>
        <w:t xml:space="preserve"> razem</w:t>
      </w:r>
      <w:r w:rsidRPr="00B3332D">
        <w:rPr>
          <w:i/>
        </w:rPr>
        <w:t xml:space="preserve"> [2+7b]</w:t>
      </w:r>
      <w:r w:rsidRPr="00B3332D">
        <w:rPr>
          <w:rStyle w:val="TeksttreciPogrubienie2"/>
          <w:i/>
        </w:rPr>
        <w:t xml:space="preserve">. </w:t>
      </w:r>
      <w:r w:rsidRPr="00B3332D">
        <w:rPr>
          <w:rStyle w:val="TeksttreciPogrubienie2"/>
          <w:b w:val="0"/>
          <w:i/>
        </w:rPr>
        <w:t>W</w:t>
      </w:r>
      <w:r w:rsidRPr="00B3332D">
        <w:rPr>
          <w:i/>
        </w:rPr>
        <w:t xml:space="preserve"> wierszu tym wykazane są wydatki bieżące razem, tj. wydatki bieżące z wiersza 2 plus wydatki bieżące na obsługę długu zgodnie z wierszem</w:t>
      </w:r>
      <w:r w:rsidR="002240E2" w:rsidRPr="00B3332D">
        <w:rPr>
          <w:i/>
        </w:rPr>
        <w:t xml:space="preserve"> 7b. </w:t>
      </w:r>
    </w:p>
    <w:p w:rsidR="002240E2" w:rsidRPr="00B3332D" w:rsidRDefault="002240E2" w:rsidP="00B3332D">
      <w:pPr>
        <w:pStyle w:val="Teksttreci1"/>
        <w:shd w:val="clear" w:color="auto" w:fill="auto"/>
        <w:tabs>
          <w:tab w:val="left" w:pos="9072"/>
        </w:tabs>
        <w:spacing w:after="0" w:line="240" w:lineRule="auto"/>
        <w:ind w:left="20"/>
        <w:jc w:val="both"/>
        <w:rPr>
          <w:i/>
        </w:rPr>
      </w:pPr>
    </w:p>
    <w:p w:rsidR="00652D83" w:rsidRDefault="00652D83" w:rsidP="00B3332D">
      <w:pPr>
        <w:pStyle w:val="Teksttreci1"/>
        <w:shd w:val="clear" w:color="auto" w:fill="auto"/>
        <w:spacing w:after="0" w:line="240" w:lineRule="auto"/>
        <w:ind w:left="20"/>
        <w:jc w:val="both"/>
        <w:rPr>
          <w:i/>
        </w:rPr>
      </w:pPr>
      <w:r w:rsidRPr="00B3332D">
        <w:rPr>
          <w:rStyle w:val="TeksttreciPogrubienie2"/>
          <w:i/>
        </w:rPr>
        <w:t>Lp</w:t>
      </w:r>
      <w:r w:rsidRPr="00B3332D">
        <w:rPr>
          <w:i/>
        </w:rPr>
        <w:t>.</w:t>
      </w:r>
      <w:r w:rsidR="002240E2" w:rsidRPr="00B3332D">
        <w:rPr>
          <w:i/>
        </w:rPr>
        <w:t xml:space="preserve"> </w:t>
      </w:r>
      <w:r w:rsidRPr="00B3332D">
        <w:rPr>
          <w:b/>
          <w:i/>
        </w:rPr>
        <w:t>25</w:t>
      </w:r>
      <w:r w:rsidRPr="00B3332D">
        <w:rPr>
          <w:i/>
        </w:rPr>
        <w:t xml:space="preserve">. </w:t>
      </w:r>
      <w:r w:rsidRPr="00B3332D">
        <w:rPr>
          <w:b/>
          <w:i/>
        </w:rPr>
        <w:t xml:space="preserve">Dochody bieżące - wydatki bieżące </w:t>
      </w:r>
      <w:r w:rsidRPr="00B3332D">
        <w:rPr>
          <w:i/>
        </w:rPr>
        <w:t>[19-20].  W wierszu tym wykazany jest wynik operacyjny,  tj. różnica pomiędzy dochodami bieżącymi, a wydatkami bieżącymi</w:t>
      </w:r>
    </w:p>
    <w:p w:rsidR="00B3332D" w:rsidRPr="00B3332D" w:rsidRDefault="00B3332D" w:rsidP="00B3332D">
      <w:pPr>
        <w:pStyle w:val="Teksttreci1"/>
        <w:shd w:val="clear" w:color="auto" w:fill="auto"/>
        <w:spacing w:after="0" w:line="240" w:lineRule="auto"/>
        <w:ind w:left="20"/>
        <w:jc w:val="both"/>
        <w:rPr>
          <w:i/>
        </w:rPr>
      </w:pPr>
    </w:p>
    <w:p w:rsidR="00652D83" w:rsidRDefault="00652D83" w:rsidP="00B3332D">
      <w:pPr>
        <w:pStyle w:val="Teksttreci1"/>
        <w:shd w:val="clear" w:color="auto" w:fill="auto"/>
        <w:spacing w:after="0" w:line="240" w:lineRule="auto"/>
        <w:ind w:left="20"/>
        <w:jc w:val="both"/>
        <w:rPr>
          <w:i/>
        </w:rPr>
      </w:pPr>
      <w:r w:rsidRPr="00B3332D">
        <w:rPr>
          <w:rStyle w:val="TeksttreciPogrubienie2"/>
          <w:i/>
        </w:rPr>
        <w:t>Lp.</w:t>
      </w:r>
      <w:r w:rsidR="002240E2" w:rsidRPr="00B3332D">
        <w:rPr>
          <w:rStyle w:val="TeksttreciPogrubienie2"/>
          <w:i/>
        </w:rPr>
        <w:t xml:space="preserve"> </w:t>
      </w:r>
      <w:r w:rsidRPr="00B3332D">
        <w:rPr>
          <w:rStyle w:val="TeksttreciPogrubienie2"/>
          <w:i/>
        </w:rPr>
        <w:t>26.</w:t>
      </w:r>
      <w:r w:rsidRPr="00B3332D">
        <w:rPr>
          <w:i/>
        </w:rPr>
        <w:t xml:space="preserve"> </w:t>
      </w:r>
      <w:r w:rsidRPr="00B3332D">
        <w:rPr>
          <w:b/>
          <w:i/>
        </w:rPr>
        <w:t>Dochody</w:t>
      </w:r>
      <w:r w:rsidRPr="00B3332D">
        <w:rPr>
          <w:rStyle w:val="Teksttreci4"/>
          <w:b/>
          <w:i/>
        </w:rPr>
        <w:t xml:space="preserve"> ogółem</w:t>
      </w:r>
      <w:r w:rsidRPr="00B3332D">
        <w:rPr>
          <w:b/>
          <w:i/>
        </w:rPr>
        <w:t>.</w:t>
      </w:r>
      <w:r w:rsidR="002240E2" w:rsidRPr="00B3332D">
        <w:rPr>
          <w:b/>
          <w:i/>
        </w:rPr>
        <w:t xml:space="preserve"> </w:t>
      </w:r>
      <w:r w:rsidRPr="00B3332D">
        <w:rPr>
          <w:i/>
        </w:rPr>
        <w:t>W wierszu tym wykazane są dochody ogółem w wielkościach wykazanych w wierszu [1] w poszczególnych latach.</w:t>
      </w:r>
    </w:p>
    <w:p w:rsidR="00B3332D" w:rsidRPr="00B3332D" w:rsidRDefault="00B3332D" w:rsidP="00B3332D">
      <w:pPr>
        <w:pStyle w:val="Teksttreci1"/>
        <w:shd w:val="clear" w:color="auto" w:fill="auto"/>
        <w:spacing w:after="0" w:line="240" w:lineRule="auto"/>
        <w:ind w:left="20"/>
        <w:jc w:val="both"/>
        <w:rPr>
          <w:i/>
        </w:rPr>
      </w:pPr>
    </w:p>
    <w:p w:rsidR="00652D83" w:rsidRDefault="00652D83" w:rsidP="00B3332D">
      <w:pPr>
        <w:pStyle w:val="Teksttreci1"/>
        <w:shd w:val="clear" w:color="auto" w:fill="auto"/>
        <w:spacing w:after="0" w:line="240" w:lineRule="auto"/>
        <w:ind w:left="20"/>
        <w:jc w:val="both"/>
        <w:rPr>
          <w:i/>
        </w:rPr>
      </w:pPr>
      <w:r w:rsidRPr="00B3332D">
        <w:rPr>
          <w:b/>
          <w:i/>
        </w:rPr>
        <w:t>Lp.27. Wydatki ogółem</w:t>
      </w:r>
      <w:r w:rsidRPr="00B3332D">
        <w:rPr>
          <w:i/>
        </w:rPr>
        <w:t>. W wierszu tym wykazane są wydatki ogółem w wielkościach wykazanych w wierszu [2+7b+10</w:t>
      </w:r>
      <w:r w:rsidRPr="00B3332D">
        <w:rPr>
          <w:rStyle w:val="TeksttreciCandara"/>
          <w:i/>
        </w:rPr>
        <w:t>]</w:t>
      </w:r>
      <w:r w:rsidRPr="00B3332D">
        <w:rPr>
          <w:i/>
        </w:rPr>
        <w:t xml:space="preserve"> w poszczególnych latach.</w:t>
      </w:r>
    </w:p>
    <w:p w:rsidR="00B3332D" w:rsidRPr="00B3332D" w:rsidRDefault="00B3332D" w:rsidP="00B3332D">
      <w:pPr>
        <w:pStyle w:val="Teksttreci1"/>
        <w:shd w:val="clear" w:color="auto" w:fill="auto"/>
        <w:spacing w:after="0" w:line="240" w:lineRule="auto"/>
        <w:ind w:left="20"/>
        <w:jc w:val="both"/>
        <w:rPr>
          <w:i/>
        </w:rPr>
      </w:pPr>
    </w:p>
    <w:p w:rsidR="00652D83" w:rsidRDefault="00652D83" w:rsidP="00B3332D">
      <w:pPr>
        <w:pStyle w:val="Teksttreci1"/>
        <w:shd w:val="clear" w:color="auto" w:fill="auto"/>
        <w:spacing w:after="0" w:line="240" w:lineRule="auto"/>
        <w:ind w:left="20"/>
        <w:jc w:val="both"/>
        <w:rPr>
          <w:i/>
        </w:rPr>
      </w:pPr>
      <w:r w:rsidRPr="00B3332D">
        <w:rPr>
          <w:rStyle w:val="TeksttreciPogrubienie2"/>
          <w:i/>
        </w:rPr>
        <w:t>Lp.</w:t>
      </w:r>
      <w:r w:rsidRPr="00B3332D">
        <w:rPr>
          <w:b/>
          <w:i/>
        </w:rPr>
        <w:t>28.</w:t>
      </w:r>
      <w:r w:rsidRPr="00B3332D">
        <w:rPr>
          <w:i/>
        </w:rPr>
        <w:t xml:space="preserve"> </w:t>
      </w:r>
      <w:r w:rsidRPr="00B3332D">
        <w:rPr>
          <w:b/>
          <w:i/>
        </w:rPr>
        <w:t>Wyni</w:t>
      </w:r>
      <w:r w:rsidRPr="00B3332D">
        <w:rPr>
          <w:i/>
        </w:rPr>
        <w:t>k</w:t>
      </w:r>
      <w:r w:rsidRPr="00B3332D">
        <w:rPr>
          <w:rStyle w:val="TeksttreciPogrubienie2"/>
          <w:i/>
        </w:rPr>
        <w:t xml:space="preserve"> budżetu</w:t>
      </w:r>
      <w:r w:rsidRPr="00B3332D">
        <w:rPr>
          <w:i/>
        </w:rPr>
        <w:t xml:space="preserve">. Prognoza przewiduje w roku 2013 nadwyżkę budżetową </w:t>
      </w:r>
      <w:r w:rsidR="008344FB">
        <w:rPr>
          <w:i/>
        </w:rPr>
        <w:br/>
      </w:r>
      <w:r w:rsidRPr="00B3332D">
        <w:rPr>
          <w:i/>
        </w:rPr>
        <w:t>w kwocie 4.106.086,98 zł z przeznaczeniem na spłatę zobowiązań. Nadwyżki budżetowe planowane w następnych latach zaplanowano z przeznaczeniem na rozchody budżetowe dotyczące spłaty długu.</w:t>
      </w:r>
    </w:p>
    <w:p w:rsidR="00B3332D" w:rsidRPr="00B3332D" w:rsidRDefault="00B3332D" w:rsidP="00B3332D">
      <w:pPr>
        <w:pStyle w:val="Teksttreci1"/>
        <w:shd w:val="clear" w:color="auto" w:fill="auto"/>
        <w:spacing w:after="0" w:line="240" w:lineRule="auto"/>
        <w:ind w:left="20"/>
        <w:jc w:val="both"/>
        <w:rPr>
          <w:i/>
        </w:rPr>
      </w:pPr>
    </w:p>
    <w:p w:rsidR="00652D83" w:rsidRDefault="00652D83" w:rsidP="00B3332D">
      <w:pPr>
        <w:pStyle w:val="Teksttreci1"/>
        <w:shd w:val="clear" w:color="auto" w:fill="auto"/>
        <w:spacing w:after="0" w:line="240" w:lineRule="auto"/>
        <w:ind w:left="20"/>
        <w:jc w:val="both"/>
        <w:rPr>
          <w:i/>
        </w:rPr>
      </w:pPr>
      <w:r w:rsidRPr="00B3332D">
        <w:rPr>
          <w:rStyle w:val="TeksttreciPogrubienie1"/>
          <w:i/>
        </w:rPr>
        <w:t>Lp.29. Przychody budżetu</w:t>
      </w:r>
      <w:r w:rsidRPr="00B3332D">
        <w:rPr>
          <w:i/>
        </w:rPr>
        <w:t>. Prognoza na rok 2013 i lata następne nie przewiduje planowanych przychodów.</w:t>
      </w:r>
    </w:p>
    <w:p w:rsidR="00B3332D" w:rsidRPr="00B3332D" w:rsidRDefault="00B3332D" w:rsidP="00B3332D">
      <w:pPr>
        <w:pStyle w:val="Teksttreci1"/>
        <w:shd w:val="clear" w:color="auto" w:fill="auto"/>
        <w:spacing w:after="0" w:line="240" w:lineRule="auto"/>
        <w:ind w:left="20"/>
        <w:jc w:val="both"/>
        <w:rPr>
          <w:i/>
        </w:rPr>
      </w:pPr>
    </w:p>
    <w:p w:rsidR="00652D83" w:rsidRPr="00B3332D" w:rsidRDefault="00652D83" w:rsidP="00B3332D">
      <w:pPr>
        <w:pStyle w:val="Teksttreci1"/>
        <w:shd w:val="clear" w:color="auto" w:fill="auto"/>
        <w:tabs>
          <w:tab w:val="left" w:pos="9072"/>
        </w:tabs>
        <w:spacing w:after="0" w:line="240" w:lineRule="auto"/>
        <w:ind w:left="20"/>
        <w:jc w:val="both"/>
        <w:rPr>
          <w:i/>
        </w:rPr>
      </w:pPr>
      <w:r w:rsidRPr="00B3332D">
        <w:rPr>
          <w:rStyle w:val="TeksttreciPogrubienie1"/>
          <w:i/>
        </w:rPr>
        <w:t>Lp.30. Rozchody budżetu</w:t>
      </w:r>
      <w:r w:rsidRPr="00B3332D">
        <w:rPr>
          <w:i/>
        </w:rPr>
        <w:t xml:space="preserve">. Rok 2013 zawiera zaplanowane raty spłaty ujęte </w:t>
      </w:r>
      <w:r w:rsidR="008344FB">
        <w:rPr>
          <w:i/>
        </w:rPr>
        <w:br/>
      </w:r>
      <w:r w:rsidRPr="00B3332D">
        <w:rPr>
          <w:i/>
        </w:rPr>
        <w:t>w rozchodach w uchwale budżetowej na 2013 rok. Prognoza na lata 2014-2022 zawiera spłaty rat w poszczególnych latach wynikające z umów oraz spłatę planowanego w (Lp. 11) zaciągnięcia kredytów, pożyczek, obligacji</w:t>
      </w:r>
    </w:p>
    <w:p w:rsidR="00B3332D" w:rsidRDefault="00B3332D" w:rsidP="00EF6149">
      <w:pPr>
        <w:pStyle w:val="Teksttreci41"/>
        <w:shd w:val="clear" w:color="auto" w:fill="auto"/>
        <w:spacing w:before="0" w:after="0" w:line="240" w:lineRule="auto"/>
        <w:ind w:left="20"/>
        <w:jc w:val="both"/>
        <w:rPr>
          <w:i/>
        </w:rPr>
      </w:pPr>
    </w:p>
    <w:p w:rsidR="00AF07BB" w:rsidRDefault="00AF07BB" w:rsidP="00EF6149">
      <w:pPr>
        <w:pStyle w:val="Teksttreci41"/>
        <w:shd w:val="clear" w:color="auto" w:fill="auto"/>
        <w:spacing w:before="0" w:after="0" w:line="240" w:lineRule="auto"/>
        <w:ind w:left="20"/>
        <w:jc w:val="both"/>
        <w:rPr>
          <w:i/>
        </w:rPr>
      </w:pPr>
    </w:p>
    <w:p w:rsidR="00652D83" w:rsidRDefault="00652D83" w:rsidP="00EF6149">
      <w:pPr>
        <w:pStyle w:val="Teksttreci41"/>
        <w:shd w:val="clear" w:color="auto" w:fill="auto"/>
        <w:spacing w:before="0" w:after="0" w:line="240" w:lineRule="auto"/>
        <w:ind w:left="20"/>
        <w:jc w:val="both"/>
        <w:rPr>
          <w:i/>
        </w:rPr>
      </w:pPr>
      <w:r w:rsidRPr="00B3332D">
        <w:rPr>
          <w:i/>
        </w:rPr>
        <w:t>Załącznik Nr 2 do WPF</w:t>
      </w:r>
    </w:p>
    <w:p w:rsidR="00CA7C3B" w:rsidRPr="00B3332D" w:rsidRDefault="00CA7C3B" w:rsidP="00EF6149">
      <w:pPr>
        <w:pStyle w:val="Teksttreci41"/>
        <w:shd w:val="clear" w:color="auto" w:fill="auto"/>
        <w:spacing w:before="0" w:after="0" w:line="240" w:lineRule="auto"/>
        <w:ind w:left="20"/>
        <w:jc w:val="both"/>
        <w:rPr>
          <w:i/>
        </w:rPr>
      </w:pPr>
    </w:p>
    <w:p w:rsidR="00CA7C3B" w:rsidRPr="00CA7C3B" w:rsidRDefault="00CA7C3B" w:rsidP="00EF6149">
      <w:pPr>
        <w:pStyle w:val="Teksttreci1"/>
        <w:shd w:val="clear" w:color="auto" w:fill="auto"/>
        <w:spacing w:after="0" w:line="240" w:lineRule="auto"/>
        <w:ind w:left="23"/>
        <w:jc w:val="both"/>
        <w:rPr>
          <w:i/>
        </w:rPr>
      </w:pPr>
      <w:r w:rsidRPr="00CA7C3B">
        <w:rPr>
          <w:rStyle w:val="TeksttreciPogrubienie1"/>
          <w:b w:val="0"/>
          <w:i/>
        </w:rPr>
        <w:t>Przedsięwzięcia</w:t>
      </w:r>
      <w:r w:rsidRPr="00CA7C3B">
        <w:rPr>
          <w:i/>
        </w:rPr>
        <w:t xml:space="preserve"> o których mowa w </w:t>
      </w:r>
      <w:r w:rsidRPr="00CA7C3B">
        <w:rPr>
          <w:i/>
          <w:lang w:val="fr-FR" w:eastAsia="fr-FR"/>
        </w:rPr>
        <w:t>art</w:t>
      </w:r>
      <w:r w:rsidRPr="00CA7C3B">
        <w:rPr>
          <w:rStyle w:val="TeksttreciPogrubienie1"/>
          <w:i/>
          <w:lang w:val="fr-FR" w:eastAsia="fr-FR"/>
        </w:rPr>
        <w:t xml:space="preserve"> </w:t>
      </w:r>
      <w:r w:rsidRPr="00CA7C3B">
        <w:rPr>
          <w:rStyle w:val="TeksttreciPogrubienie1"/>
          <w:i/>
        </w:rPr>
        <w:t>226</w:t>
      </w:r>
      <w:r w:rsidRPr="00CA7C3B">
        <w:rPr>
          <w:rStyle w:val="Teksttreci2"/>
          <w:i/>
        </w:rPr>
        <w:t xml:space="preserve"> ust</w:t>
      </w:r>
      <w:r w:rsidRPr="00CA7C3B">
        <w:rPr>
          <w:rStyle w:val="TeksttreciPogrubienie1"/>
          <w:i/>
        </w:rPr>
        <w:t xml:space="preserve"> 4</w:t>
      </w:r>
      <w:r w:rsidRPr="00CA7C3B">
        <w:rPr>
          <w:i/>
        </w:rPr>
        <w:t xml:space="preserve"> ustawy o</w:t>
      </w:r>
      <w:r w:rsidRPr="00CA7C3B">
        <w:rPr>
          <w:rStyle w:val="Teksttreci2"/>
          <w:i/>
        </w:rPr>
        <w:t xml:space="preserve"> finansach</w:t>
      </w:r>
      <w:r w:rsidRPr="00CA7C3B">
        <w:rPr>
          <w:i/>
        </w:rPr>
        <w:t xml:space="preserve"> publicznych</w:t>
      </w:r>
      <w:r w:rsidRPr="00CA7C3B">
        <w:rPr>
          <w:rStyle w:val="TeksttreciPogrubienie1"/>
          <w:i/>
        </w:rPr>
        <w:t xml:space="preserve"> </w:t>
      </w:r>
      <w:r w:rsidRPr="00CA7C3B">
        <w:rPr>
          <w:rStyle w:val="TeksttreciPogrubienie1"/>
          <w:b w:val="0"/>
          <w:i/>
        </w:rPr>
        <w:t>z dnia 27 sierpnia 2009 roku</w:t>
      </w:r>
      <w:r w:rsidRPr="00CA7C3B">
        <w:rPr>
          <w:i/>
        </w:rPr>
        <w:t xml:space="preserve"> - niniejsza kategoria zawiera przedsięwzięcia których realizacja jest dłuższa niż rok.</w:t>
      </w:r>
    </w:p>
    <w:p w:rsidR="00CA7C3B" w:rsidRPr="00CA7C3B" w:rsidRDefault="00CA7C3B" w:rsidP="00EF6149">
      <w:pPr>
        <w:pStyle w:val="Teksttreci1"/>
        <w:shd w:val="clear" w:color="auto" w:fill="auto"/>
        <w:spacing w:after="0" w:line="240" w:lineRule="auto"/>
        <w:ind w:left="23"/>
        <w:jc w:val="both"/>
        <w:rPr>
          <w:i/>
        </w:rPr>
      </w:pPr>
      <w:r w:rsidRPr="00CA7C3B">
        <w:rPr>
          <w:i/>
        </w:rPr>
        <w:t>W przedsięwzięciach ujęto te które realizowane są w 201</w:t>
      </w:r>
      <w:r w:rsidR="00EF6149">
        <w:rPr>
          <w:i/>
        </w:rPr>
        <w:t>3</w:t>
      </w:r>
      <w:r w:rsidRPr="00CA7C3B">
        <w:rPr>
          <w:i/>
        </w:rPr>
        <w:t xml:space="preserve"> roku i latach następnych. Ujęto w tej kategorii - wieloletnie umowy - dotyczące wykupu wierzytelności w związku z budową Szpitala Tucholskiego zawarte do 2024r. </w:t>
      </w:r>
    </w:p>
    <w:p w:rsidR="00CA7C3B" w:rsidRDefault="00CA7C3B" w:rsidP="00EF6149">
      <w:pPr>
        <w:pStyle w:val="Teksttreci1"/>
        <w:shd w:val="clear" w:color="auto" w:fill="auto"/>
        <w:spacing w:after="0" w:line="240" w:lineRule="auto"/>
        <w:ind w:left="23"/>
        <w:jc w:val="both"/>
        <w:rPr>
          <w:i/>
        </w:rPr>
      </w:pPr>
      <w:r w:rsidRPr="00CA7C3B">
        <w:rPr>
          <w:i/>
        </w:rPr>
        <w:t>Poręczenie udzielone przez Zarząd Powiatu Spółce „Szpital Tucholski" - obejmuje lata od 2011 roku do 2019. Pozostałe zadania realizowane są w cyklu rocznym poszczególnych latach oraz pozostałe wydatki inwestycyjne w wysokości pozwalającej realizować następne zadania w latach 201</w:t>
      </w:r>
      <w:r w:rsidR="00EF6149">
        <w:rPr>
          <w:i/>
        </w:rPr>
        <w:t>3</w:t>
      </w:r>
      <w:r w:rsidRPr="00CA7C3B">
        <w:rPr>
          <w:i/>
        </w:rPr>
        <w:t>-2024 do możliwości budżetów prognozowanych w poszczególnych latach.</w:t>
      </w:r>
    </w:p>
    <w:p w:rsidR="00AF07BB" w:rsidRPr="00221DB4" w:rsidRDefault="00AF07BB" w:rsidP="00AF07BB">
      <w:pPr>
        <w:pStyle w:val="Standard"/>
        <w:jc w:val="both"/>
        <w:rPr>
          <w:i/>
          <w:sz w:val="26"/>
        </w:rPr>
      </w:pPr>
      <w:r>
        <w:rPr>
          <w:i/>
          <w:sz w:val="26"/>
        </w:rPr>
        <w:t>Zaplanowane finansowanie przedsięwzięć w rozdziale 85333 w kwocie 936.748,00 zł, dotyczy  realizacji programu operacyjnego: działanie 6.2</w:t>
      </w:r>
      <w:r w:rsidRPr="00221DB4">
        <w:rPr>
          <w:i/>
          <w:sz w:val="26"/>
        </w:rPr>
        <w:t xml:space="preserve"> „ Przedsiębiorczość szansą </w:t>
      </w:r>
      <w:r w:rsidRPr="00221DB4">
        <w:rPr>
          <w:i/>
          <w:sz w:val="26"/>
        </w:rPr>
        <w:lastRenderedPageBreak/>
        <w:t>na rozwój regionu kujawsko – pomorskiego”</w:t>
      </w:r>
      <w:r>
        <w:rPr>
          <w:i/>
          <w:sz w:val="26"/>
        </w:rPr>
        <w:t>. Prognoza w/w przedsięwzięcia na rok 2014 wynosi 21.000 zł.</w:t>
      </w:r>
    </w:p>
    <w:p w:rsidR="00AF07BB" w:rsidRPr="00BA4EC6" w:rsidRDefault="00AF07BB" w:rsidP="00AF07BB">
      <w:pPr>
        <w:pStyle w:val="Standard"/>
        <w:jc w:val="both"/>
        <w:rPr>
          <w:i/>
          <w:sz w:val="26"/>
        </w:rPr>
      </w:pPr>
      <w:r w:rsidRPr="00BA4EC6">
        <w:rPr>
          <w:i/>
          <w:sz w:val="26"/>
        </w:rPr>
        <w:t>W rozdziale</w:t>
      </w:r>
      <w:r>
        <w:rPr>
          <w:i/>
          <w:sz w:val="26"/>
        </w:rPr>
        <w:t xml:space="preserve"> 75704</w:t>
      </w:r>
      <w:r w:rsidRPr="00BA4EC6">
        <w:rPr>
          <w:i/>
          <w:sz w:val="26"/>
        </w:rPr>
        <w:t xml:space="preserve"> planuje się wydatki </w:t>
      </w:r>
      <w:r>
        <w:rPr>
          <w:i/>
          <w:sz w:val="26"/>
        </w:rPr>
        <w:t xml:space="preserve">do końca roku 2019 </w:t>
      </w:r>
      <w:r w:rsidRPr="00BA4EC6">
        <w:rPr>
          <w:i/>
          <w:sz w:val="26"/>
        </w:rPr>
        <w:t>związane z obsługą poręczenia udzielonego przez Zarząd Powiatu Spółce „Szpital Tucholski”</w:t>
      </w:r>
      <w:r>
        <w:rPr>
          <w:i/>
          <w:sz w:val="26"/>
        </w:rPr>
        <w:t xml:space="preserve"> w wysokości 375.000 zł. rocznie.</w:t>
      </w:r>
    </w:p>
    <w:p w:rsidR="00EF6149" w:rsidRPr="00CA7C3B" w:rsidRDefault="00EF6149" w:rsidP="00EF6149">
      <w:pPr>
        <w:pStyle w:val="Teksttreci1"/>
        <w:shd w:val="clear" w:color="auto" w:fill="auto"/>
        <w:spacing w:after="0" w:line="240" w:lineRule="auto"/>
        <w:ind w:left="23"/>
        <w:jc w:val="both"/>
        <w:rPr>
          <w:i/>
        </w:rPr>
      </w:pPr>
    </w:p>
    <w:p w:rsidR="00F94106" w:rsidRPr="00CA7C3B" w:rsidRDefault="00B3332D" w:rsidP="00B3332D">
      <w:pPr>
        <w:tabs>
          <w:tab w:val="left" w:pos="0"/>
        </w:tabs>
        <w:ind w:left="426" w:hanging="426"/>
        <w:jc w:val="both"/>
        <w:rPr>
          <w:i/>
          <w:sz w:val="18"/>
          <w:szCs w:val="18"/>
        </w:rPr>
      </w:pPr>
      <w:r w:rsidRPr="00CA7C3B">
        <w:rPr>
          <w:i/>
          <w:sz w:val="18"/>
          <w:szCs w:val="18"/>
        </w:rPr>
        <w:t>Sporządziła:  Zofia Łącka</w:t>
      </w:r>
    </w:p>
    <w:p w:rsidR="00AA612F" w:rsidRPr="00CA7C3B" w:rsidRDefault="00B3332D" w:rsidP="00CA7C3B">
      <w:pPr>
        <w:tabs>
          <w:tab w:val="left" w:pos="0"/>
        </w:tabs>
        <w:ind w:left="426" w:hanging="426"/>
        <w:jc w:val="both"/>
        <w:rPr>
          <w:i/>
          <w:sz w:val="18"/>
          <w:szCs w:val="18"/>
        </w:rPr>
      </w:pPr>
      <w:r w:rsidRPr="00CA7C3B">
        <w:rPr>
          <w:i/>
          <w:sz w:val="18"/>
          <w:szCs w:val="18"/>
        </w:rPr>
        <w:t xml:space="preserve">                     Skarbnik Powiatu</w:t>
      </w:r>
    </w:p>
    <w:sectPr w:rsidR="00AA612F" w:rsidRPr="00CA7C3B" w:rsidSect="003B2206">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8BC" w:rsidRDefault="007278BC" w:rsidP="00FD67AB">
      <w:r>
        <w:separator/>
      </w:r>
    </w:p>
  </w:endnote>
  <w:endnote w:type="continuationSeparator" w:id="0">
    <w:p w:rsidR="007278BC" w:rsidRDefault="007278BC" w:rsidP="00FD6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20002A87" w:usb1="80000000" w:usb2="00000008" w:usb3="00000000" w:csb0="0000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F7" w:rsidRDefault="00E54DF5">
    <w:pPr>
      <w:pStyle w:val="Stopka"/>
      <w:framePr w:wrap="around" w:vAnchor="text" w:hAnchor="margin" w:xAlign="center" w:y="1"/>
      <w:rPr>
        <w:rStyle w:val="Numerstrony"/>
      </w:rPr>
    </w:pPr>
    <w:r>
      <w:rPr>
        <w:rStyle w:val="Numerstrony"/>
      </w:rPr>
      <w:fldChar w:fldCharType="begin"/>
    </w:r>
    <w:r w:rsidR="00A54AF7">
      <w:rPr>
        <w:rStyle w:val="Numerstrony"/>
      </w:rPr>
      <w:instrText xml:space="preserve">PAGE  </w:instrText>
    </w:r>
    <w:r>
      <w:rPr>
        <w:rStyle w:val="Numerstrony"/>
      </w:rPr>
      <w:fldChar w:fldCharType="separate"/>
    </w:r>
    <w:r w:rsidR="00A54AF7">
      <w:rPr>
        <w:rStyle w:val="Numerstrony"/>
        <w:noProof/>
      </w:rPr>
      <w:t>7</w:t>
    </w:r>
    <w:r>
      <w:rPr>
        <w:rStyle w:val="Numerstrony"/>
      </w:rPr>
      <w:fldChar w:fldCharType="end"/>
    </w:r>
  </w:p>
  <w:p w:rsidR="00A54AF7" w:rsidRDefault="00A54AF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F7" w:rsidRDefault="00E54DF5">
    <w:pPr>
      <w:pStyle w:val="Stopka"/>
      <w:framePr w:wrap="around" w:vAnchor="text" w:hAnchor="margin" w:xAlign="center" w:y="1"/>
      <w:rPr>
        <w:rStyle w:val="Numerstrony"/>
      </w:rPr>
    </w:pPr>
    <w:r>
      <w:rPr>
        <w:rStyle w:val="Numerstrony"/>
      </w:rPr>
      <w:fldChar w:fldCharType="begin"/>
    </w:r>
    <w:r w:rsidR="00A54AF7">
      <w:rPr>
        <w:rStyle w:val="Numerstrony"/>
      </w:rPr>
      <w:instrText xml:space="preserve">PAGE  </w:instrText>
    </w:r>
    <w:r>
      <w:rPr>
        <w:rStyle w:val="Numerstrony"/>
      </w:rPr>
      <w:fldChar w:fldCharType="separate"/>
    </w:r>
    <w:r w:rsidR="00AF07BB">
      <w:rPr>
        <w:rStyle w:val="Numerstrony"/>
        <w:noProof/>
      </w:rPr>
      <w:t>3</w:t>
    </w:r>
    <w:r>
      <w:rPr>
        <w:rStyle w:val="Numerstrony"/>
      </w:rPr>
      <w:fldChar w:fldCharType="end"/>
    </w:r>
  </w:p>
  <w:p w:rsidR="00A54AF7" w:rsidRDefault="00A54AF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06" w:rsidRDefault="003B220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8BC" w:rsidRDefault="007278BC" w:rsidP="00FD67AB">
      <w:r>
        <w:separator/>
      </w:r>
    </w:p>
  </w:footnote>
  <w:footnote w:type="continuationSeparator" w:id="0">
    <w:p w:rsidR="007278BC" w:rsidRDefault="007278BC" w:rsidP="00FD6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06" w:rsidRDefault="003B220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06" w:rsidRPr="006D4225" w:rsidRDefault="003B2206">
    <w:pPr>
      <w:pStyle w:val="Nagwek"/>
      <w:rPr>
        <w:u w:val="single"/>
      </w:rPr>
    </w:pPr>
    <w:r w:rsidRPr="006D4225">
      <w:rPr>
        <w:u w:val="single"/>
      </w:rPr>
      <w:t>INFORMACJA O WIELOLETNIEJ PROGNOZIE FINANSOWEJ LATA 2013-2024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06" w:rsidRDefault="003B220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lowerLetter"/>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29407D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C23C86"/>
    <w:multiLevelType w:val="hybridMultilevel"/>
    <w:tmpl w:val="3798236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201D11"/>
    <w:multiLevelType w:val="singleLevel"/>
    <w:tmpl w:val="04150011"/>
    <w:lvl w:ilvl="0">
      <w:start w:val="1"/>
      <w:numFmt w:val="decimal"/>
      <w:lvlText w:val="%1)"/>
      <w:lvlJc w:val="left"/>
      <w:pPr>
        <w:ind w:left="720" w:hanging="360"/>
      </w:pPr>
      <w:rPr>
        <w:rFonts w:hint="default"/>
      </w:rPr>
    </w:lvl>
  </w:abstractNum>
  <w:abstractNum w:abstractNumId="4">
    <w:nsid w:val="1BD159EF"/>
    <w:multiLevelType w:val="hybridMultilevel"/>
    <w:tmpl w:val="D8C6C34A"/>
    <w:lvl w:ilvl="0" w:tplc="ACC69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9A2C95"/>
    <w:multiLevelType w:val="hybridMultilevel"/>
    <w:tmpl w:val="7944C028"/>
    <w:lvl w:ilvl="0" w:tplc="5A7A50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101DE3"/>
    <w:multiLevelType w:val="hybridMultilevel"/>
    <w:tmpl w:val="F3C2E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74C58CD"/>
    <w:multiLevelType w:val="hybridMultilevel"/>
    <w:tmpl w:val="6C90365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604EE3"/>
    <w:multiLevelType w:val="hybridMultilevel"/>
    <w:tmpl w:val="D152D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215052"/>
    <w:multiLevelType w:val="hybridMultilevel"/>
    <w:tmpl w:val="C5584888"/>
    <w:lvl w:ilvl="0" w:tplc="E070CBA2">
      <w:start w:val="1"/>
      <w:numFmt w:val="decimal"/>
      <w:lvlText w:val="%1)"/>
      <w:lvlJc w:val="left"/>
      <w:pPr>
        <w:ind w:left="1004" w:hanging="360"/>
      </w:pPr>
      <w:rPr>
        <w:rFonts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2CAD119C"/>
    <w:multiLevelType w:val="hybridMultilevel"/>
    <w:tmpl w:val="D11A7BE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21B690E"/>
    <w:multiLevelType w:val="hybridMultilevel"/>
    <w:tmpl w:val="F5B49C5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32DD7CF4"/>
    <w:multiLevelType w:val="hybridMultilevel"/>
    <w:tmpl w:val="25F69E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FD7DEF"/>
    <w:multiLevelType w:val="hybridMultilevel"/>
    <w:tmpl w:val="30B26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B91764A"/>
    <w:multiLevelType w:val="hybridMultilevel"/>
    <w:tmpl w:val="3B6E7850"/>
    <w:lvl w:ilvl="0" w:tplc="2542AB54">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DA05B30"/>
    <w:multiLevelType w:val="hybridMultilevel"/>
    <w:tmpl w:val="D11A7BE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77769C"/>
    <w:multiLevelType w:val="hybridMultilevel"/>
    <w:tmpl w:val="BBD45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BF11AC8"/>
    <w:multiLevelType w:val="hybridMultilevel"/>
    <w:tmpl w:val="539AD4C8"/>
    <w:lvl w:ilvl="0" w:tplc="ACC69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D87765F"/>
    <w:multiLevelType w:val="hybridMultilevel"/>
    <w:tmpl w:val="FAB0BE5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502C7CBE"/>
    <w:multiLevelType w:val="hybridMultilevel"/>
    <w:tmpl w:val="8FE60F20"/>
    <w:lvl w:ilvl="0" w:tplc="ACC69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9CA5085"/>
    <w:multiLevelType w:val="hybridMultilevel"/>
    <w:tmpl w:val="F5CC5D90"/>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5A2D3E6E"/>
    <w:multiLevelType w:val="hybridMultilevel"/>
    <w:tmpl w:val="6F5EE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CCD5EC9"/>
    <w:multiLevelType w:val="hybridMultilevel"/>
    <w:tmpl w:val="42365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DE85540"/>
    <w:multiLevelType w:val="hybridMultilevel"/>
    <w:tmpl w:val="88E436C2"/>
    <w:lvl w:ilvl="0" w:tplc="ACC69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9B5CC9"/>
    <w:multiLevelType w:val="hybridMultilevel"/>
    <w:tmpl w:val="B2DC2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5456003"/>
    <w:multiLevelType w:val="hybridMultilevel"/>
    <w:tmpl w:val="50F645C4"/>
    <w:lvl w:ilvl="0" w:tplc="BB3438E0">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6">
    <w:nsid w:val="68960951"/>
    <w:multiLevelType w:val="hybridMultilevel"/>
    <w:tmpl w:val="322E9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D21547"/>
    <w:multiLevelType w:val="hybridMultilevel"/>
    <w:tmpl w:val="322E9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E918D1"/>
    <w:multiLevelType w:val="hybridMultilevel"/>
    <w:tmpl w:val="FF5E4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81A54EA"/>
    <w:multiLevelType w:val="hybridMultilevel"/>
    <w:tmpl w:val="D7382F64"/>
    <w:lvl w:ilvl="0" w:tplc="ACC69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C506956"/>
    <w:multiLevelType w:val="hybridMultilevel"/>
    <w:tmpl w:val="6F3EFF90"/>
    <w:lvl w:ilvl="0" w:tplc="04150011">
      <w:start w:val="1"/>
      <w:numFmt w:val="decimal"/>
      <w:lvlText w:val="%1)"/>
      <w:lvlJc w:val="left"/>
      <w:pPr>
        <w:tabs>
          <w:tab w:val="num" w:pos="786"/>
        </w:tabs>
        <w:ind w:left="786"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0"/>
  </w:num>
  <w:num w:numId="3">
    <w:abstractNumId w:val="12"/>
  </w:num>
  <w:num w:numId="4">
    <w:abstractNumId w:val="2"/>
  </w:num>
  <w:num w:numId="5">
    <w:abstractNumId w:val="3"/>
  </w:num>
  <w:num w:numId="6">
    <w:abstractNumId w:val="30"/>
  </w:num>
  <w:num w:numId="7">
    <w:abstractNumId w:val="5"/>
  </w:num>
  <w:num w:numId="8">
    <w:abstractNumId w:val="16"/>
  </w:num>
  <w:num w:numId="9">
    <w:abstractNumId w:val="6"/>
  </w:num>
  <w:num w:numId="10">
    <w:abstractNumId w:val="13"/>
  </w:num>
  <w:num w:numId="11">
    <w:abstractNumId w:val="21"/>
  </w:num>
  <w:num w:numId="12">
    <w:abstractNumId w:val="11"/>
  </w:num>
  <w:num w:numId="13">
    <w:abstractNumId w:val="15"/>
  </w:num>
  <w:num w:numId="14">
    <w:abstractNumId w:val="7"/>
  </w:num>
  <w:num w:numId="15">
    <w:abstractNumId w:val="18"/>
  </w:num>
  <w:num w:numId="16">
    <w:abstractNumId w:val="8"/>
  </w:num>
  <w:num w:numId="17">
    <w:abstractNumId w:val="19"/>
  </w:num>
  <w:num w:numId="18">
    <w:abstractNumId w:val="24"/>
  </w:num>
  <w:num w:numId="19">
    <w:abstractNumId w:val="29"/>
  </w:num>
  <w:num w:numId="20">
    <w:abstractNumId w:val="9"/>
  </w:num>
  <w:num w:numId="21">
    <w:abstractNumId w:val="28"/>
  </w:num>
  <w:num w:numId="22">
    <w:abstractNumId w:val="23"/>
  </w:num>
  <w:num w:numId="23">
    <w:abstractNumId w:val="17"/>
  </w:num>
  <w:num w:numId="24">
    <w:abstractNumId w:val="14"/>
  </w:num>
  <w:num w:numId="25">
    <w:abstractNumId w:val="4"/>
  </w:num>
  <w:num w:numId="26">
    <w:abstractNumId w:val="10"/>
  </w:num>
  <w:num w:numId="27">
    <w:abstractNumId w:val="0"/>
  </w:num>
  <w:num w:numId="28">
    <w:abstractNumId w:val="22"/>
  </w:num>
  <w:num w:numId="29">
    <w:abstractNumId w:val="26"/>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076AE0"/>
    <w:rsid w:val="00073426"/>
    <w:rsid w:val="00076AE0"/>
    <w:rsid w:val="000B2DEB"/>
    <w:rsid w:val="00100014"/>
    <w:rsid w:val="00105E03"/>
    <w:rsid w:val="00114A16"/>
    <w:rsid w:val="001951B1"/>
    <w:rsid w:val="001C2707"/>
    <w:rsid w:val="001C665F"/>
    <w:rsid w:val="001D0D0B"/>
    <w:rsid w:val="002240E2"/>
    <w:rsid w:val="0023421C"/>
    <w:rsid w:val="002819DE"/>
    <w:rsid w:val="00297FB0"/>
    <w:rsid w:val="002D7E4D"/>
    <w:rsid w:val="002E74F4"/>
    <w:rsid w:val="003232A2"/>
    <w:rsid w:val="00374CBE"/>
    <w:rsid w:val="003B2206"/>
    <w:rsid w:val="003B6E84"/>
    <w:rsid w:val="003D079C"/>
    <w:rsid w:val="00401BDA"/>
    <w:rsid w:val="00403AB8"/>
    <w:rsid w:val="00412F84"/>
    <w:rsid w:val="0046247C"/>
    <w:rsid w:val="00466C37"/>
    <w:rsid w:val="004A4EA4"/>
    <w:rsid w:val="004D54CD"/>
    <w:rsid w:val="00537691"/>
    <w:rsid w:val="00557291"/>
    <w:rsid w:val="005717B4"/>
    <w:rsid w:val="00595E94"/>
    <w:rsid w:val="005A0ECA"/>
    <w:rsid w:val="005A66C1"/>
    <w:rsid w:val="005D0958"/>
    <w:rsid w:val="005D26EF"/>
    <w:rsid w:val="005F330C"/>
    <w:rsid w:val="00612530"/>
    <w:rsid w:val="006303D7"/>
    <w:rsid w:val="00652D83"/>
    <w:rsid w:val="006D4225"/>
    <w:rsid w:val="006F7475"/>
    <w:rsid w:val="007278BC"/>
    <w:rsid w:val="00777678"/>
    <w:rsid w:val="007F2B23"/>
    <w:rsid w:val="00815DEC"/>
    <w:rsid w:val="008344FB"/>
    <w:rsid w:val="00853157"/>
    <w:rsid w:val="00895E71"/>
    <w:rsid w:val="009760A3"/>
    <w:rsid w:val="009918C0"/>
    <w:rsid w:val="009E58E8"/>
    <w:rsid w:val="00A327E9"/>
    <w:rsid w:val="00A54AF7"/>
    <w:rsid w:val="00A85F2B"/>
    <w:rsid w:val="00A96599"/>
    <w:rsid w:val="00AA612F"/>
    <w:rsid w:val="00AD32AC"/>
    <w:rsid w:val="00AF07BB"/>
    <w:rsid w:val="00B3332D"/>
    <w:rsid w:val="00B525EE"/>
    <w:rsid w:val="00B6020F"/>
    <w:rsid w:val="00B917E7"/>
    <w:rsid w:val="00BA3816"/>
    <w:rsid w:val="00C53091"/>
    <w:rsid w:val="00C628E7"/>
    <w:rsid w:val="00CA509A"/>
    <w:rsid w:val="00CA7C3B"/>
    <w:rsid w:val="00CB3B06"/>
    <w:rsid w:val="00CF210C"/>
    <w:rsid w:val="00D32EDE"/>
    <w:rsid w:val="00D4392B"/>
    <w:rsid w:val="00D94E5D"/>
    <w:rsid w:val="00DE5BBE"/>
    <w:rsid w:val="00E23AD3"/>
    <w:rsid w:val="00E54DF5"/>
    <w:rsid w:val="00E70457"/>
    <w:rsid w:val="00EB1AAD"/>
    <w:rsid w:val="00EC422D"/>
    <w:rsid w:val="00EC5E02"/>
    <w:rsid w:val="00EF6149"/>
    <w:rsid w:val="00F26753"/>
    <w:rsid w:val="00F4213D"/>
    <w:rsid w:val="00F72815"/>
    <w:rsid w:val="00F731AB"/>
    <w:rsid w:val="00F815D8"/>
    <w:rsid w:val="00F94106"/>
    <w:rsid w:val="00FD26AC"/>
    <w:rsid w:val="00FD67AB"/>
    <w:rsid w:val="00FE08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AE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076AE0"/>
    <w:pPr>
      <w:keepNext/>
      <w:ind w:left="708"/>
      <w:jc w:val="center"/>
      <w:outlineLvl w:val="1"/>
    </w:pPr>
    <w:rPr>
      <w:u w:val="single"/>
    </w:rPr>
  </w:style>
  <w:style w:type="paragraph" w:styleId="Nagwek4">
    <w:name w:val="heading 4"/>
    <w:basedOn w:val="Normalny"/>
    <w:next w:val="Normalny"/>
    <w:link w:val="Nagwek4Znak"/>
    <w:uiPriority w:val="9"/>
    <w:semiHidden/>
    <w:unhideWhenUsed/>
    <w:qFormat/>
    <w:rsid w:val="00076AE0"/>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76AE0"/>
    <w:rPr>
      <w:rFonts w:ascii="Times New Roman" w:eastAsia="Times New Roman" w:hAnsi="Times New Roman" w:cs="Times New Roman"/>
      <w:sz w:val="24"/>
      <w:szCs w:val="24"/>
      <w:u w:val="single"/>
      <w:lang w:eastAsia="pl-PL"/>
    </w:rPr>
  </w:style>
  <w:style w:type="character" w:customStyle="1" w:styleId="Nagwek4Znak">
    <w:name w:val="Nagłówek 4 Znak"/>
    <w:basedOn w:val="Domylnaczcionkaakapitu"/>
    <w:link w:val="Nagwek4"/>
    <w:uiPriority w:val="9"/>
    <w:semiHidden/>
    <w:rsid w:val="00076AE0"/>
    <w:rPr>
      <w:rFonts w:ascii="Calibri" w:eastAsia="Times New Roman" w:hAnsi="Calibri" w:cs="Times New Roman"/>
      <w:b/>
      <w:bCs/>
      <w:sz w:val="28"/>
      <w:szCs w:val="28"/>
    </w:rPr>
  </w:style>
  <w:style w:type="paragraph" w:styleId="Tekstpodstawowywcity2">
    <w:name w:val="Body Text Indent 2"/>
    <w:basedOn w:val="Normalny"/>
    <w:link w:val="Tekstpodstawowywcity2Znak"/>
    <w:semiHidden/>
    <w:rsid w:val="00076AE0"/>
    <w:pPr>
      <w:ind w:left="708"/>
      <w:jc w:val="both"/>
    </w:pPr>
  </w:style>
  <w:style w:type="character" w:customStyle="1" w:styleId="Tekstpodstawowywcity2Znak">
    <w:name w:val="Tekst podstawowy wcięty 2 Znak"/>
    <w:basedOn w:val="Domylnaczcionkaakapitu"/>
    <w:link w:val="Tekstpodstawowywcity2"/>
    <w:semiHidden/>
    <w:rsid w:val="00076AE0"/>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076AE0"/>
    <w:pPr>
      <w:spacing w:after="120"/>
    </w:pPr>
  </w:style>
  <w:style w:type="character" w:customStyle="1" w:styleId="TekstpodstawowyZnak">
    <w:name w:val="Tekst podstawowy Znak"/>
    <w:basedOn w:val="Domylnaczcionkaakapitu"/>
    <w:link w:val="Tekstpodstawowy"/>
    <w:semiHidden/>
    <w:rsid w:val="00076AE0"/>
    <w:rPr>
      <w:rFonts w:ascii="Times New Roman" w:eastAsia="Times New Roman" w:hAnsi="Times New Roman" w:cs="Times New Roman"/>
      <w:sz w:val="24"/>
      <w:szCs w:val="24"/>
      <w:lang w:eastAsia="pl-PL"/>
    </w:rPr>
  </w:style>
  <w:style w:type="paragraph" w:styleId="Stopka">
    <w:name w:val="footer"/>
    <w:basedOn w:val="Normalny"/>
    <w:link w:val="StopkaZnak"/>
    <w:semiHidden/>
    <w:rsid w:val="00076AE0"/>
    <w:pPr>
      <w:tabs>
        <w:tab w:val="center" w:pos="4536"/>
        <w:tab w:val="right" w:pos="9072"/>
      </w:tabs>
    </w:pPr>
  </w:style>
  <w:style w:type="character" w:customStyle="1" w:styleId="StopkaZnak">
    <w:name w:val="Stopka Znak"/>
    <w:basedOn w:val="Domylnaczcionkaakapitu"/>
    <w:link w:val="Stopka"/>
    <w:semiHidden/>
    <w:rsid w:val="00076AE0"/>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076AE0"/>
  </w:style>
  <w:style w:type="paragraph" w:styleId="Tekstprzypisudolnego">
    <w:name w:val="footnote text"/>
    <w:basedOn w:val="Normalny"/>
    <w:link w:val="TekstprzypisudolnegoZnak"/>
    <w:uiPriority w:val="99"/>
    <w:semiHidden/>
    <w:unhideWhenUsed/>
    <w:rsid w:val="00076AE0"/>
    <w:rPr>
      <w:sz w:val="20"/>
      <w:szCs w:val="20"/>
    </w:rPr>
  </w:style>
  <w:style w:type="character" w:customStyle="1" w:styleId="TekstprzypisudolnegoZnak">
    <w:name w:val="Tekst przypisu dolnego Znak"/>
    <w:basedOn w:val="Domylnaczcionkaakapitu"/>
    <w:link w:val="Tekstprzypisudolnego"/>
    <w:uiPriority w:val="99"/>
    <w:semiHidden/>
    <w:rsid w:val="00076AE0"/>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076AE0"/>
    <w:rPr>
      <w:sz w:val="20"/>
      <w:szCs w:val="20"/>
    </w:rPr>
  </w:style>
  <w:style w:type="character" w:customStyle="1" w:styleId="TekstprzypisukocowegoZnak">
    <w:name w:val="Tekst przypisu końcowego Znak"/>
    <w:basedOn w:val="Domylnaczcionkaakapitu"/>
    <w:link w:val="Tekstprzypisukocowego"/>
    <w:uiPriority w:val="99"/>
    <w:semiHidden/>
    <w:rsid w:val="00076AE0"/>
    <w:rPr>
      <w:rFonts w:ascii="Times New Roman" w:eastAsia="Times New Roman" w:hAnsi="Times New Roman" w:cs="Times New Roman"/>
      <w:sz w:val="20"/>
      <w:szCs w:val="20"/>
      <w:lang w:eastAsia="pl-PL"/>
    </w:rPr>
  </w:style>
  <w:style w:type="paragraph" w:customStyle="1" w:styleId="WW-Listawypunktowana">
    <w:name w:val="WW-Lista wypunktowana"/>
    <w:basedOn w:val="Normalny"/>
    <w:rsid w:val="00076AE0"/>
    <w:pPr>
      <w:suppressAutoHyphens/>
      <w:spacing w:line="360" w:lineRule="auto"/>
      <w:jc w:val="both"/>
    </w:pPr>
    <w:rPr>
      <w:szCs w:val="20"/>
      <w:lang w:eastAsia="ar-SA"/>
    </w:rPr>
  </w:style>
  <w:style w:type="table" w:styleId="Tabela-Siatka">
    <w:name w:val="Table Grid"/>
    <w:basedOn w:val="Standardowy"/>
    <w:uiPriority w:val="59"/>
    <w:rsid w:val="00076AE0"/>
    <w:pPr>
      <w:spacing w:after="0" w:line="240" w:lineRule="auto"/>
    </w:pPr>
    <w:rPr>
      <w:rFonts w:ascii="Calibri" w:eastAsia="Calibri"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ksttreciPogrubienie">
    <w:name w:val="Tekst treści + Pogrubienie"/>
    <w:basedOn w:val="Domylnaczcionkaakapitu"/>
    <w:rsid w:val="00297FB0"/>
    <w:rPr>
      <w:rFonts w:ascii="Times New Roman" w:hAnsi="Times New Roman" w:cs="Times New Roman"/>
      <w:b/>
      <w:bCs/>
      <w:spacing w:val="0"/>
      <w:sz w:val="26"/>
      <w:szCs w:val="26"/>
    </w:rPr>
  </w:style>
  <w:style w:type="character" w:customStyle="1" w:styleId="Teksttreci">
    <w:name w:val="Tekst treści_"/>
    <w:basedOn w:val="Domylnaczcionkaakapitu"/>
    <w:link w:val="Teksttreci1"/>
    <w:rsid w:val="00403AB8"/>
    <w:rPr>
      <w:rFonts w:ascii="Times New Roman" w:hAnsi="Times New Roman" w:cs="Times New Roman"/>
      <w:sz w:val="26"/>
      <w:szCs w:val="26"/>
      <w:shd w:val="clear" w:color="auto" w:fill="FFFFFF"/>
    </w:rPr>
  </w:style>
  <w:style w:type="paragraph" w:customStyle="1" w:styleId="Teksttreci1">
    <w:name w:val="Tekst treści1"/>
    <w:basedOn w:val="Normalny"/>
    <w:link w:val="Teksttreci"/>
    <w:rsid w:val="00403AB8"/>
    <w:pPr>
      <w:shd w:val="clear" w:color="auto" w:fill="FFFFFF"/>
      <w:spacing w:after="240" w:line="300" w:lineRule="exact"/>
    </w:pPr>
    <w:rPr>
      <w:rFonts w:eastAsiaTheme="minorHAnsi"/>
      <w:sz w:val="26"/>
      <w:szCs w:val="26"/>
      <w:lang w:eastAsia="en-US"/>
    </w:rPr>
  </w:style>
  <w:style w:type="character" w:customStyle="1" w:styleId="Teksttreci6">
    <w:name w:val="Tekst treści6"/>
    <w:basedOn w:val="Teksttreci"/>
    <w:rsid w:val="00FE089F"/>
    <w:rPr>
      <w:spacing w:val="0"/>
    </w:rPr>
  </w:style>
  <w:style w:type="character" w:customStyle="1" w:styleId="Nagwek3">
    <w:name w:val="Nagłówek #3_"/>
    <w:basedOn w:val="Domylnaczcionkaakapitu"/>
    <w:link w:val="Nagwek30"/>
    <w:rsid w:val="00D32EDE"/>
    <w:rPr>
      <w:rFonts w:ascii="Times New Roman" w:hAnsi="Times New Roman" w:cs="Times New Roman"/>
      <w:b/>
      <w:bCs/>
      <w:sz w:val="26"/>
      <w:szCs w:val="26"/>
      <w:shd w:val="clear" w:color="auto" w:fill="FFFFFF"/>
    </w:rPr>
  </w:style>
  <w:style w:type="character" w:customStyle="1" w:styleId="Teksttreci5">
    <w:name w:val="Tekst treści5"/>
    <w:basedOn w:val="Teksttreci"/>
    <w:rsid w:val="00D32EDE"/>
    <w:rPr>
      <w:spacing w:val="0"/>
    </w:rPr>
  </w:style>
  <w:style w:type="paragraph" w:customStyle="1" w:styleId="Nagwek30">
    <w:name w:val="Nagłówek #3"/>
    <w:basedOn w:val="Normalny"/>
    <w:link w:val="Nagwek3"/>
    <w:rsid w:val="00D32EDE"/>
    <w:pPr>
      <w:shd w:val="clear" w:color="auto" w:fill="FFFFFF"/>
      <w:spacing w:before="240" w:line="302" w:lineRule="exact"/>
      <w:outlineLvl w:val="2"/>
    </w:pPr>
    <w:rPr>
      <w:rFonts w:eastAsiaTheme="minorHAnsi"/>
      <w:b/>
      <w:bCs/>
      <w:sz w:val="26"/>
      <w:szCs w:val="26"/>
      <w:lang w:eastAsia="en-US"/>
    </w:rPr>
  </w:style>
  <w:style w:type="character" w:customStyle="1" w:styleId="TeksttreciPogrubienie4">
    <w:name w:val="Tekst treści + Pogrubienie4"/>
    <w:basedOn w:val="Teksttreci"/>
    <w:rsid w:val="00CA509A"/>
    <w:rPr>
      <w:b/>
      <w:bCs/>
      <w:spacing w:val="0"/>
    </w:rPr>
  </w:style>
  <w:style w:type="character" w:styleId="Pogrubienie">
    <w:name w:val="Strong"/>
    <w:aliases w:val="Tekst treści + 11,5 pt1"/>
    <w:basedOn w:val="Teksttreci"/>
    <w:qFormat/>
    <w:rsid w:val="00F4213D"/>
    <w:rPr>
      <w:b/>
      <w:bCs/>
      <w:spacing w:val="0"/>
      <w:sz w:val="23"/>
      <w:szCs w:val="23"/>
    </w:rPr>
  </w:style>
  <w:style w:type="character" w:customStyle="1" w:styleId="TeksttreciPogrubienie3">
    <w:name w:val="Tekst treści + Pogrubienie3"/>
    <w:basedOn w:val="Teksttreci"/>
    <w:rsid w:val="00F4213D"/>
    <w:rPr>
      <w:b/>
      <w:bCs/>
      <w:spacing w:val="0"/>
    </w:rPr>
  </w:style>
  <w:style w:type="character" w:customStyle="1" w:styleId="Teksttreci3">
    <w:name w:val="Tekst treści (3)_"/>
    <w:basedOn w:val="Domylnaczcionkaakapitu"/>
    <w:link w:val="Teksttreci30"/>
    <w:rsid w:val="00895E71"/>
    <w:rPr>
      <w:rFonts w:ascii="Times New Roman" w:hAnsi="Times New Roman" w:cs="Times New Roman"/>
      <w:b/>
      <w:bCs/>
      <w:sz w:val="26"/>
      <w:szCs w:val="26"/>
      <w:shd w:val="clear" w:color="auto" w:fill="FFFFFF"/>
    </w:rPr>
  </w:style>
  <w:style w:type="character" w:customStyle="1" w:styleId="TeksttreciPogrubienie2">
    <w:name w:val="Tekst treści + Pogrubienie2"/>
    <w:basedOn w:val="Teksttreci"/>
    <w:rsid w:val="00895E71"/>
    <w:rPr>
      <w:b/>
      <w:bCs/>
      <w:spacing w:val="0"/>
    </w:rPr>
  </w:style>
  <w:style w:type="paragraph" w:customStyle="1" w:styleId="Teksttreci30">
    <w:name w:val="Tekst treści (3)"/>
    <w:basedOn w:val="Normalny"/>
    <w:link w:val="Teksttreci3"/>
    <w:rsid w:val="00895E71"/>
    <w:pPr>
      <w:shd w:val="clear" w:color="auto" w:fill="FFFFFF"/>
      <w:spacing w:after="60" w:line="240" w:lineRule="atLeast"/>
    </w:pPr>
    <w:rPr>
      <w:rFonts w:eastAsiaTheme="minorHAnsi"/>
      <w:b/>
      <w:bCs/>
      <w:sz w:val="26"/>
      <w:szCs w:val="26"/>
      <w:lang w:eastAsia="en-US"/>
    </w:rPr>
  </w:style>
  <w:style w:type="character" w:customStyle="1" w:styleId="Teksttreci4">
    <w:name w:val="Tekst treści4"/>
    <w:basedOn w:val="Teksttreci"/>
    <w:rsid w:val="00652D83"/>
    <w:rPr>
      <w:spacing w:val="0"/>
    </w:rPr>
  </w:style>
  <w:style w:type="character" w:customStyle="1" w:styleId="TeksttreciCandara">
    <w:name w:val="Tekst treści + Candara"/>
    <w:aliases w:val="Odstępy 0 pt"/>
    <w:basedOn w:val="Teksttreci"/>
    <w:rsid w:val="00652D83"/>
    <w:rPr>
      <w:rFonts w:ascii="Candara" w:hAnsi="Candara" w:cs="Candara"/>
      <w:spacing w:val="-10"/>
    </w:rPr>
  </w:style>
  <w:style w:type="character" w:customStyle="1" w:styleId="TeksttreciPogrubienie1">
    <w:name w:val="Tekst treści + Pogrubienie1"/>
    <w:basedOn w:val="Teksttreci"/>
    <w:rsid w:val="00652D83"/>
    <w:rPr>
      <w:b/>
      <w:bCs/>
      <w:spacing w:val="0"/>
    </w:rPr>
  </w:style>
  <w:style w:type="character" w:customStyle="1" w:styleId="Teksttreci40">
    <w:name w:val="Tekst treści (4)_"/>
    <w:basedOn w:val="Domylnaczcionkaakapitu"/>
    <w:link w:val="Teksttreci41"/>
    <w:rsid w:val="00652D83"/>
    <w:rPr>
      <w:rFonts w:ascii="Times New Roman" w:hAnsi="Times New Roman" w:cs="Times New Roman"/>
      <w:sz w:val="26"/>
      <w:szCs w:val="26"/>
      <w:shd w:val="clear" w:color="auto" w:fill="FFFFFF"/>
    </w:rPr>
  </w:style>
  <w:style w:type="paragraph" w:customStyle="1" w:styleId="Teksttreci41">
    <w:name w:val="Tekst treści (4)"/>
    <w:basedOn w:val="Normalny"/>
    <w:link w:val="Teksttreci40"/>
    <w:rsid w:val="00652D83"/>
    <w:pPr>
      <w:shd w:val="clear" w:color="auto" w:fill="FFFFFF"/>
      <w:spacing w:before="240" w:after="360" w:line="240" w:lineRule="atLeast"/>
    </w:pPr>
    <w:rPr>
      <w:rFonts w:eastAsiaTheme="minorHAnsi"/>
      <w:sz w:val="26"/>
      <w:szCs w:val="26"/>
      <w:lang w:eastAsia="en-US"/>
    </w:rPr>
  </w:style>
  <w:style w:type="character" w:customStyle="1" w:styleId="Teksttreci2">
    <w:name w:val="Tekst treści2"/>
    <w:basedOn w:val="Teksttreci"/>
    <w:rsid w:val="00CA7C3B"/>
    <w:rPr>
      <w:spacing w:val="0"/>
    </w:rPr>
  </w:style>
  <w:style w:type="paragraph" w:styleId="Nagwek">
    <w:name w:val="header"/>
    <w:basedOn w:val="Normalny"/>
    <w:link w:val="NagwekZnak"/>
    <w:uiPriority w:val="99"/>
    <w:semiHidden/>
    <w:unhideWhenUsed/>
    <w:rsid w:val="005F330C"/>
    <w:pPr>
      <w:tabs>
        <w:tab w:val="center" w:pos="4536"/>
        <w:tab w:val="right" w:pos="9072"/>
      </w:tabs>
    </w:pPr>
  </w:style>
  <w:style w:type="character" w:customStyle="1" w:styleId="NagwekZnak">
    <w:name w:val="Nagłówek Znak"/>
    <w:basedOn w:val="Domylnaczcionkaakapitu"/>
    <w:link w:val="Nagwek"/>
    <w:uiPriority w:val="99"/>
    <w:semiHidden/>
    <w:rsid w:val="005F330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F330C"/>
    <w:rPr>
      <w:rFonts w:ascii="Tahoma" w:hAnsi="Tahoma" w:cs="Tahoma"/>
      <w:sz w:val="16"/>
      <w:szCs w:val="16"/>
    </w:rPr>
  </w:style>
  <w:style w:type="character" w:customStyle="1" w:styleId="TekstdymkaZnak">
    <w:name w:val="Tekst dymka Znak"/>
    <w:basedOn w:val="Domylnaczcionkaakapitu"/>
    <w:link w:val="Tekstdymka"/>
    <w:uiPriority w:val="99"/>
    <w:semiHidden/>
    <w:rsid w:val="005F330C"/>
    <w:rPr>
      <w:rFonts w:ascii="Tahoma" w:eastAsia="Times New Roman" w:hAnsi="Tahoma" w:cs="Tahoma"/>
      <w:sz w:val="16"/>
      <w:szCs w:val="16"/>
      <w:lang w:eastAsia="pl-PL"/>
    </w:rPr>
  </w:style>
  <w:style w:type="paragraph" w:customStyle="1" w:styleId="Standard">
    <w:name w:val="Standard"/>
    <w:rsid w:val="00AF07BB"/>
    <w:pPr>
      <w:spacing w:after="0" w:line="240" w:lineRule="auto"/>
    </w:pPr>
    <w:rPr>
      <w:rFonts w:ascii="Times" w:eastAsia="Times New Roman" w:hAnsi="Times" w:cs="Times New Roman"/>
      <w:snapToGrid w:val="0"/>
      <w:sz w:val="24"/>
      <w:szCs w:val="20"/>
      <w:lang w:eastAsia="pl-PL"/>
    </w:rPr>
  </w:style>
</w:styles>
</file>

<file path=word/webSettings.xml><?xml version="1.0" encoding="utf-8"?>
<w:webSettings xmlns:r="http://schemas.openxmlformats.org/officeDocument/2006/relationships" xmlns:w="http://schemas.openxmlformats.org/wordprocessingml/2006/main">
  <w:divs>
    <w:div w:id="66732317">
      <w:bodyDiv w:val="1"/>
      <w:marLeft w:val="0"/>
      <w:marRight w:val="0"/>
      <w:marTop w:val="0"/>
      <w:marBottom w:val="0"/>
      <w:divBdr>
        <w:top w:val="none" w:sz="0" w:space="0" w:color="auto"/>
        <w:left w:val="none" w:sz="0" w:space="0" w:color="auto"/>
        <w:bottom w:val="none" w:sz="0" w:space="0" w:color="auto"/>
        <w:right w:val="none" w:sz="0" w:space="0" w:color="auto"/>
      </w:divBdr>
    </w:div>
    <w:div w:id="1105228021">
      <w:bodyDiv w:val="1"/>
      <w:marLeft w:val="0"/>
      <w:marRight w:val="0"/>
      <w:marTop w:val="0"/>
      <w:marBottom w:val="0"/>
      <w:divBdr>
        <w:top w:val="none" w:sz="0" w:space="0" w:color="auto"/>
        <w:left w:val="none" w:sz="0" w:space="0" w:color="auto"/>
        <w:bottom w:val="none" w:sz="0" w:space="0" w:color="auto"/>
        <w:right w:val="none" w:sz="0" w:space="0" w:color="auto"/>
      </w:divBdr>
    </w:div>
    <w:div w:id="17166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13</Pages>
  <Words>3511</Words>
  <Characters>21067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24529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34</cp:revision>
  <cp:lastPrinted>2012-11-14T09:07:00Z</cp:lastPrinted>
  <dcterms:created xsi:type="dcterms:W3CDTF">2012-11-13T14:59:00Z</dcterms:created>
  <dcterms:modified xsi:type="dcterms:W3CDTF">2012-11-14T09:50:00Z</dcterms:modified>
</cp:coreProperties>
</file>